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Pr>
        <w:jc w:val="center"/>
      </w:pPr>
      <w:r>
        <w:rPr>
          <w:rFonts w:ascii="Calibri" w:hAnsi="Calibri" w:cs="Calibri" w:eastAsia="Microsoft YaHei"/>
          <w:b/>
          <w:color w:val="5B3A8C"/>
          <w:sz w:val="52"/>
        </w:rPr>
        <w:t>Occult Realm Dao Lab</w:t>
      </w:r>
    </w:p>
    <w:p>
      <w:pPr>
        <w:jc w:val="center"/>
      </w:pPr>
      <w:r>
        <w:rPr>
          <w:rFonts w:ascii="Calibri" w:hAnsi="Calibri" w:cs="Calibri" w:eastAsia="Microsoft YaHei"/>
          <w:b/>
          <w:sz w:val="40"/>
        </w:rPr>
        <w:t>ORDL Whitepaper v2.0</w:t>
      </w:r>
    </w:p>
    <w:p>
      <w:pPr>
        <w:jc w:val="center"/>
      </w:pPr>
      <w:r>
        <w:rPr>
          <w:rFonts w:ascii="Calibri" w:hAnsi="Calibri" w:cs="Calibri" w:eastAsia="Microsoft YaHei"/>
          <w:b w:val="0"/>
          <w:color w:val="555555"/>
          <w:sz w:val="28"/>
        </w:rPr>
        <w:t>From Lab to League</w:t>
      </w:r>
    </w:p>
    <w:p/>
    <w:p>
      <w:pPr>
        <w:jc w:val="center"/>
      </w:pPr>
      <w:r>
        <w:rPr>
          <w:rFonts w:ascii="Calibri" w:hAnsi="Calibri" w:cs="Calibri" w:eastAsia="Microsoft YaHei"/>
          <w:b w:val="0"/>
          <w:sz w:val="26"/>
        </w:rPr>
        <w:t>Human upgrade, from the inside out</w:t>
      </w:r>
    </w:p>
    <w:p>
      <w:pPr>
        <w:jc w:val="center"/>
      </w:pPr>
      <w:r>
        <w:rPr>
          <w:rFonts w:ascii="Calibri" w:hAnsi="Calibri" w:cs="Calibri" w:eastAsia="Microsoft YaHei"/>
          <w:b w:val="0"/>
          <w:color w:val="5B3A8C"/>
          <w:sz w:val="26"/>
        </w:rPr>
        <w:t>Return · Refine · Reunite</w:t>
      </w:r>
    </w:p>
    <w:p>
      <w:pPr>
        <w:jc w:val="center"/>
      </w:pPr>
      <w:r>
        <w:rPr>
          <w:rFonts w:ascii="Calibri" w:hAnsi="Calibri" w:cs="Calibri" w:eastAsia="Microsoft YaHei"/>
          <w:b w:val="0"/>
          <w:color w:val="555555"/>
          <w:sz w:val="20"/>
        </w:rPr>
        <w:t>回归 · 精炼 · 合一</w:t>
      </w:r>
    </w:p>
    <w:p/>
    <w:p/>
    <w:p/>
    <w:p/>
    <w:p/>
    <w:p>
      <w:pPr>
        <w:jc w:val="center"/>
      </w:pPr>
      <w:r>
        <w:rPr>
          <w:rFonts w:ascii="Calibri" w:hAnsi="Calibri" w:cs="Calibri" w:eastAsia="Microsoft YaHei"/>
          <w:b w:val="0"/>
          <w:color w:val="555555"/>
          <w:sz w:val="20"/>
        </w:rPr>
        <w:t>Version: v2.0 (October 2026, Asia/Shanghai)</w:t>
      </w:r>
    </w:p>
    <w:p>
      <w:pPr>
        <w:jc w:val="center"/>
      </w:pPr>
      <w:r>
        <w:rPr>
          <w:rFonts w:ascii="Calibri" w:hAnsi="Calibri" w:cs="Calibri" w:eastAsia="Microsoft YaHei"/>
          <w:b w:val="0"/>
          <w:color w:val="555555"/>
          <w:sz w:val="20"/>
        </w:rPr>
        <w:t>Replaces: the first draft, “Desci Blockchain Project Whitepaper”</w:t>
      </w:r>
    </w:p>
    <w:p>
      <w:pPr>
        <w:jc w:val="center"/>
      </w:pPr>
      <w:r>
        <w:rPr>
          <w:rFonts w:ascii="Calibri" w:hAnsi="Calibri" w:cs="Calibri" w:eastAsia="Microsoft YaHei"/>
          <w:b w:val="0"/>
          <w:color w:val="555555"/>
          <w:sz w:val="20"/>
        </w:rPr>
        <w:t>For: ORDL holders, community members, and friends thinking of joining</w:t>
      </w:r>
    </w:p>
    <w:p>
      <w:pPr>
        <w:jc w:val="center"/>
      </w:pPr>
      <w:r>
        <w:rPr>
          <w:rFonts w:ascii="Calibri" w:hAnsi="Calibri" w:cs="Calibri" w:eastAsia="Microsoft YaHei"/>
          <w:b w:val="0"/>
          <w:color w:val="555555"/>
          <w:sz w:val="20"/>
        </w:rPr>
        <w:t>Money rules: Economic Model Specification v0.25 (finalised 2026-10-09)</w:t>
      </w:r>
    </w:p>
    <w:p>
      <w:pPr>
        <w:jc w:val="center"/>
      </w:pPr>
      <w:r>
        <w:rPr>
          <w:rFonts w:ascii="Calibri" w:hAnsi="Calibri" w:cs="Calibri" w:eastAsia="Microsoft YaHei"/>
          <w:b w:val="0"/>
          <w:color w:val="555555"/>
          <w:sz w:val="20"/>
        </w:rPr>
        <w:t>Translation: English translation of the Simplified Chinese original. If the two versions differ, the Chinese version prevails.</w:t>
      </w:r>
    </w:p>
    <w:p>
      <w:r>
        <w:br w:type="page"/>
      </w:r>
    </w:p>
    <w:p>
      <w:pPr>
        <w:ind w:left="340"/>
        <w:pBdr>
          <w:left w:val="single" w:sz="18" w:space="8" w:color="5B3A8C"/>
        </w:pBdr>
      </w:pPr>
      <w:r>
        <w:rPr>
          <w:rFonts w:ascii="Calibri" w:hAnsi="Calibri" w:cs="Calibri" w:eastAsia="Microsoft YaHei"/>
          <w:b w:val="0"/>
          <w:color w:val="555555"/>
          <w:sz w:val="20"/>
        </w:rPr>
        <w:t>This document describes a project. It is not investment, legal or tax advice. The ORDL token may lose value or go to zero. The long-term vision described here is not guaranteed. Content on practice and health is for learning only and cannot replace diagnosis or treatment by a doctor.</w:t>
      </w:r>
    </w:p>
    <w:p>
      <w:pPr>
        <w:pStyle w:val="Heading1"/>
      </w:pPr>
      <w:r>
        <w:t>Before you read: why a new version</w:t>
      </w:r>
    </w:p>
    <w:p>
      <w:r>
        <w:rPr>
          <w:rFonts w:ascii="Calibri" w:hAnsi="Calibri" w:cs="Calibri" w:eastAsia="Microsoft YaHei"/>
          <w:b w:val="0"/>
        </w:rPr>
        <w:t>The first whitepaper was written when the project had just begun. All we had then was one idea: to look again, with scientific eyes, at the experience our ancestors left us in the five arts of mountain, medicine, destiny, physiognomy and divination, and to tell the world about Chinese culture properly. That idea has not changed at all.</w:t>
      </w:r>
    </w:p>
    <w:p>
      <w:r>
        <w:rPr>
          <w:rFonts w:ascii="Calibri" w:hAnsi="Calibri" w:cs="Calibri" w:eastAsia="Microsoft YaHei"/>
          <w:b w:val="0"/>
        </w:rPr>
        <w:t>Two things have changed.</w:t>
      </w:r>
    </w:p>
    <w:p>
      <w:r>
        <w:rPr>
          <w:rFonts w:ascii="Calibri" w:hAnsi="Calibri" w:cs="Calibri" w:eastAsia="Microsoft YaHei"/>
          <w:b w:val="0"/>
        </w:rPr>
        <w:t>First, we have built some real things: a multilingual website with learning content, an AI practice companion, consultations and Q&amp;A, membership with wallet linking, on-chain settlement and donations, self-observation tools, and public experiments. A whitepaper should describe what actually exists. Valuations and imagination can be left out.</w:t>
      </w:r>
    </w:p>
    <w:p>
      <w:r>
        <w:rPr>
          <w:rFonts w:ascii="Calibri" w:hAnsi="Calibri" w:cs="Calibri" w:eastAsia="Microsoft YaHei"/>
          <w:b w:val="0"/>
        </w:rPr>
        <w:t>Second, we see the way ahead more clearly. ORDL wants to grow, slowly, from a small laboratory (Lab) into a league (League) where people practise together. In the end, we hope the community’s own real income can sustain its members’ practice, so that people no longer have to chase money and can give themselves fully to practice.</w:t>
      </w:r>
    </w:p>
    <w:p>
      <w:r>
        <w:rPr>
          <w:rFonts w:ascii="Calibri" w:hAnsi="Calibri" w:cs="Calibri" w:eastAsia="Microsoft YaHei"/>
          <w:b w:val="0"/>
        </w:rPr>
        <w:t>That is a distant goal. So this version does a few things: it removes the promises from the old version that we cannot guarantee; it writes down how money comes in, is kept and is used as rules anyone can check; it turns the conditions for each stage into milestones that can be verified; and it puts the risks up front.</w:t>
      </w:r>
    </w:p>
    <w:p>
      <w:r>
        <w:rPr>
          <w:rFonts w:ascii="Calibri" w:hAnsi="Calibri" w:cs="Calibri" w:eastAsia="Microsoft YaHei"/>
          <w:b w:val="0"/>
        </w:rPr>
        <w:t xml:space="preserve">One more thing comes first: </w:t>
      </w:r>
      <w:r>
        <w:rPr>
          <w:rFonts w:ascii="Calibri" w:hAnsi="Calibri" w:cs="Calibri" w:eastAsia="Microsoft YaHei"/>
          <w:b/>
        </w:rPr>
        <w:t>we do not encourage anyone to buy ORDL.</w:t>
      </w:r>
      <w:r>
        <w:rPr>
          <w:rFonts w:ascii="Calibri" w:hAnsi="Calibri" w:cs="Calibri" w:eastAsia="Microsoft YaHei"/>
          <w:b w:val="0"/>
        </w:rPr>
        <w:t xml:space="preserve"> ORDL is only the community’s identity credential. Friends who practise over the long term will receive ORDL rewards in future (details TBD; see Chapters 5 and 6).</w:t>
      </w:r>
    </w:p>
    <w:p>
      <w:pPr>
        <w:pStyle w:val="Heading1"/>
      </w:pPr>
      <w:r>
        <w:t>1. Who we are</w:t>
      </w:r>
    </w:p>
    <w:p>
      <w:r>
        <w:rPr>
          <w:rFonts w:ascii="Calibri" w:hAnsi="Calibri" w:cs="Calibri" w:eastAsia="Microsoft YaHei"/>
          <w:b w:val="0"/>
        </w:rPr>
        <w:t>Occult Realm Dao Lab, ORDL for short. Our website is ordl.net.</w:t>
      </w:r>
    </w:p>
    <w:p>
      <w:r>
        <w:rPr>
          <w:rFonts w:ascii="Calibri" w:hAnsi="Calibri" w:cs="Calibri" w:eastAsia="Microsoft YaHei"/>
          <w:b w:val="0"/>
        </w:rPr>
        <w:t>We do one thing: human upgrade. Seeing a little more clearly, choosing a little more steadily, and becoming someone better able to take responsibility for yourself.</w:t>
      </w:r>
    </w:p>
    <w:p>
      <w:r>
        <w:rPr>
          <w:rFonts w:ascii="Calibri" w:hAnsi="Calibri" w:cs="Calibri" w:eastAsia="Microsoft YaHei"/>
          <w:b w:val="0"/>
        </w:rPr>
        <w:t>We often use a flask as a picture of this. A person is like the material in a flask: everyday confusion, anxiety and old habits make it cloudier and cloudier. Practice is a repeated “return, refine, reunite”: coming back to yourself, burning off the impurities bit by bit, and gathering your scattered self into one whole. In today’s words it is a kind of “active negentropy”: through your own effort, life becomes more and more ordered.</w:t>
      </w:r>
    </w:p>
    <w:p>
      <w:r>
        <w:rPr>
          <w:rFonts w:ascii="Calibri" w:hAnsi="Calibri" w:cs="Calibri" w:eastAsia="Microsoft YaHei"/>
          <w:b w:val="0"/>
        </w:rPr>
        <w:t>Our roots are in the East. Mountain (nourishing life and cultivation), medicine, destiny, physiognomy and divination hold thousands of years of Chinese experience of life. What we want to do is unpack that experience from a scientific point of view and say honestly which parts today’s science can already understand, which parts are still unclear, and which may be wrong. We call this a small “Eastern Renaissance”, and we welcome Western traditions and contemporary thought into the conversation.</w:t>
      </w:r>
    </w:p>
    <w:p>
      <w:r>
        <w:rPr>
          <w:rFonts w:ascii="Calibri" w:hAnsi="Calibri" w:cs="Calibri" w:eastAsia="Microsoft YaHei"/>
          <w:b w:val="0"/>
        </w:rPr>
        <w:t>The team is very small for now. Following a principle set in the first version, we keep our systems as simple and loosely coupled as possible, so that one person can maintain them. Whatever can be handed to the community goes to the community; whatever can be handed to public rules goes to the rules.</w:t>
      </w:r>
    </w:p>
    <w:p>
      <w:pPr>
        <w:pStyle w:val="Heading1"/>
      </w:pPr>
      <w:r>
        <w:t>2. What we believe</w:t>
      </w:r>
    </w:p>
    <w:p>
      <w:r>
        <w:rPr>
          <w:rFonts w:ascii="Calibri" w:hAnsi="Calibri" w:cs="Calibri" w:eastAsia="Microsoft YaHei"/>
          <w:b/>
        </w:rPr>
        <w:t>Original aspiration</w:t>
      </w:r>
      <w:r>
        <w:rPr>
          <w:rFonts w:ascii="Calibri" w:hAnsi="Calibri" w:cs="Calibri" w:eastAsia="Microsoft YaHei"/>
          <w:b w:val="0"/>
        </w:rPr>
        <w:t>: to revive and share Chinese culture, so that the life wisdom of the East is taken seriously by more people.</w:t>
      </w:r>
    </w:p>
    <w:p>
      <w:r>
        <w:rPr>
          <w:rFonts w:ascii="Calibri" w:hAnsi="Calibri" w:cs="Calibri" w:eastAsia="Microsoft YaHei"/>
          <w:b/>
        </w:rPr>
        <w:t>Mission</w:t>
      </w:r>
      <w:r>
        <w:rPr>
          <w:rFonts w:ascii="Calibri" w:hAnsi="Calibri" w:cs="Calibri" w:eastAsia="Microsoft YaHei"/>
          <w:b w:val="0"/>
        </w:rPr>
        <w:t>: to keep decoding the experience of the esoteric traditions from a scientific point of view, for people’s benefit.</w:t>
      </w:r>
    </w:p>
    <w:p>
      <w:r>
        <w:rPr>
          <w:rFonts w:ascii="Calibri" w:hAnsi="Calibri" w:cs="Calibri" w:eastAsia="Microsoft YaHei"/>
          <w:b/>
        </w:rPr>
        <w:t>Values</w:t>
      </w:r>
      <w:r>
        <w:rPr>
          <w:rFonts w:ascii="Calibri" w:hAnsi="Calibri" w:cs="Calibri" w:eastAsia="Microsoft YaHei"/>
          <w:b w:val="0"/>
        </w:rPr>
        <w:t>: open, inclusive, diligent, good. We care, we share.</w:t>
      </w:r>
    </w:p>
    <w:p>
      <w:r>
        <w:rPr>
          <w:rFonts w:ascii="Calibri" w:hAnsi="Calibri" w:cs="Calibri" w:eastAsia="Microsoft YaHei"/>
          <w:b w:val="0"/>
        </w:rPr>
        <w:t>A few principles for how we work:</w:t>
      </w:r>
    </w:p>
    <w:p>
      <w:pPr>
        <w:ind w:left="425" w:hanging="283"/>
      </w:pPr>
      <w:r>
        <w:rPr>
          <w:rFonts w:ascii="Calibri" w:hAnsi="Calibri" w:cs="Calibri" w:eastAsia="Microsoft YaHei"/>
          <w:b w:val="0"/>
        </w:rPr>
        <w:t xml:space="preserve">1. </w:t>
      </w:r>
      <w:r>
        <w:rPr>
          <w:rFonts w:ascii="Calibri" w:hAnsi="Calibri" w:cs="Calibri" w:eastAsia="Microsoft YaHei"/>
          <w:b/>
        </w:rPr>
        <w:t>Evidence first, then stories.</w:t>
      </w:r>
      <w:r>
        <w:rPr>
          <w:rFonts w:ascii="Calibri" w:hAnsi="Calibri" w:cs="Calibri" w:eastAsia="Microsoft YaHei"/>
          <w:b w:val="0"/>
        </w:rPr>
        <w:t xml:space="preserve"> Esoteric content is attractive; the scientific explanation has to be just as clear. Where something cannot be explained, we write “unclear”.</w:t>
      </w:r>
    </w:p>
    <w:p>
      <w:pPr>
        <w:ind w:left="425" w:hanging="283"/>
      </w:pPr>
      <w:r>
        <w:rPr>
          <w:rFonts w:ascii="Calibri" w:hAnsi="Calibri" w:cs="Calibri" w:eastAsia="Microsoft YaHei"/>
          <w:b w:val="0"/>
        </w:rPr>
        <w:t xml:space="preserve">2. </w:t>
      </w:r>
      <w:r>
        <w:rPr>
          <w:rFonts w:ascii="Calibri" w:hAnsi="Calibri" w:cs="Calibri" w:eastAsia="Microsoft YaHei"/>
          <w:b/>
        </w:rPr>
        <w:t>When we are wrong, we say so publicly.</w:t>
      </w:r>
      <w:r>
        <w:rPr>
          <w:rFonts w:ascii="Calibri" w:hAnsi="Calibri" w:cs="Calibri" w:eastAsia="Microsoft YaHei"/>
          <w:b w:val="0"/>
        </w:rPr>
        <w:t xml:space="preserve"> In our public experiments, the misses are announced as loudly as the hits.</w:t>
      </w:r>
    </w:p>
    <w:p>
      <w:pPr>
        <w:ind w:left="425" w:hanging="283"/>
      </w:pPr>
      <w:r>
        <w:rPr>
          <w:rFonts w:ascii="Calibri" w:hAnsi="Calibri" w:cs="Calibri" w:eastAsia="Microsoft YaHei"/>
          <w:b w:val="0"/>
        </w:rPr>
        <w:t xml:space="preserve">3. </w:t>
      </w:r>
      <w:r>
        <w:rPr>
          <w:rFonts w:ascii="Calibri" w:hAnsi="Calibri" w:cs="Calibri" w:eastAsia="Microsoft YaHei"/>
          <w:b/>
        </w:rPr>
        <w:t>We promise only what we can deliver.</w:t>
      </w:r>
      <w:r>
        <w:rPr>
          <w:rFonts w:ascii="Calibri" w:hAnsi="Calibri" w:cs="Calibri" w:eastAsia="Microsoft YaHei"/>
          <w:b w:val="0"/>
        </w:rPr>
        <w:t xml:space="preserve"> We do not promise luck, fortune or health outcomes, and we do not promise any returns.</w:t>
      </w:r>
    </w:p>
    <w:p>
      <w:pPr>
        <w:ind w:left="425" w:hanging="283"/>
      </w:pPr>
      <w:r>
        <w:rPr>
          <w:rFonts w:ascii="Calibri" w:hAnsi="Calibri" w:cs="Calibri" w:eastAsia="Microsoft YaHei"/>
          <w:b w:val="0"/>
        </w:rPr>
        <w:t xml:space="preserve">4. </w:t>
      </w:r>
      <w:r>
        <w:rPr>
          <w:rFonts w:ascii="Calibri" w:hAnsi="Calibri" w:cs="Calibri" w:eastAsia="Microsoft YaHei"/>
          <w:b/>
        </w:rPr>
        <w:t>The DAO spirit.</w:t>
      </w:r>
      <w:r>
        <w:rPr>
          <w:rFonts w:ascii="Calibri" w:hAnsi="Calibri" w:cs="Calibri" w:eastAsia="Microsoft YaHei"/>
          <w:b w:val="0"/>
        </w:rPr>
        <w:t xml:space="preserve"> The community builds together, the rules are public, decisions leave a trail, and where the money goes can be checked.</w:t>
      </w:r>
    </w:p>
    <w:p>
      <w:pPr>
        <w:ind w:left="425" w:hanging="283"/>
      </w:pPr>
      <w:r>
        <w:rPr>
          <w:rFonts w:ascii="Calibri" w:hAnsi="Calibri" w:cs="Calibri" w:eastAsia="Microsoft YaHei"/>
          <w:b w:val="0"/>
        </w:rPr>
        <w:t xml:space="preserve">5. </w:t>
      </w:r>
      <w:r>
        <w:rPr>
          <w:rFonts w:ascii="Calibri" w:hAnsi="Calibri" w:cs="Calibri" w:eastAsia="Microsoft YaHei"/>
          <w:b/>
        </w:rPr>
        <w:t>Simple and sustainable.</w:t>
      </w:r>
      <w:r>
        <w:rPr>
          <w:rFonts w:ascii="Calibri" w:hAnsi="Calibri" w:cs="Calibri" w:eastAsia="Microsoft YaHei"/>
          <w:b w:val="0"/>
        </w:rPr>
        <w:t xml:space="preserve"> One person can maintain the systems; money goes into reserves before anyone talks about distribution.</w:t>
      </w:r>
    </w:p>
    <w:p>
      <w:pPr>
        <w:pStyle w:val="Heading1"/>
      </w:pPr>
      <w:r>
        <w:t>3. What already exists</w:t>
      </w:r>
    </w:p>
    <w:p>
      <w:r>
        <w:rPr>
          <w:rFonts w:ascii="Calibri" w:hAnsi="Calibri" w:cs="Calibri" w:eastAsia="Microsoft YaHei"/>
          <w:b w:val="0"/>
        </w:rPr>
        <w:t>The following are already live on ordl.net. They are described here by category only; the website is the reference for the exact features.</w:t>
      </w:r>
    </w:p>
    <w:tbl>
      <w:tblPr>
        <w:tblStyle w:val="TableGrid"/>
        <w:tblW w:type="auto" w:w="0"/>
        <w:jc w:val="center"/>
        <w:tblLook w:firstColumn="1" w:firstRow="1" w:lastColumn="0" w:lastRow="0" w:noHBand="0" w:noVBand="1" w:val="04A0"/>
      </w:tblPr>
      <w:tblGrid>
        <w:gridCol w:w="4646"/>
        <w:gridCol w:w="4646"/>
      </w:tblGrid>
      <w:tr>
        <w:tc>
          <w:tcPr>
            <w:tcW w:type="dxa" w:w="4646"/>
            <w:shd w:val="clear" w:color="auto" w:fill="5B3A8C"/>
          </w:tcPr>
          <w:p>
            <w:pPr>
              <w:spacing w:line="300" w:lineRule="auto" w:after="0"/>
            </w:pPr>
            <w:r/>
            <w:r>
              <w:rPr>
                <w:rFonts w:ascii="Calibri" w:hAnsi="Calibri" w:cs="Calibri" w:eastAsia="Microsoft YaHei"/>
                <w:b/>
                <w:color w:val="FFFFFF"/>
                <w:sz w:val="18"/>
              </w:rPr>
              <w:t>Category</w:t>
            </w:r>
          </w:p>
        </w:tc>
        <w:tc>
          <w:tcPr>
            <w:tcW w:type="dxa" w:w="4646"/>
            <w:shd w:val="clear" w:color="auto" w:fill="5B3A8C"/>
          </w:tcPr>
          <w:p>
            <w:pPr>
              <w:spacing w:line="300" w:lineRule="auto" w:after="0"/>
            </w:pPr>
            <w:r/>
            <w:r>
              <w:rPr>
                <w:rFonts w:ascii="Calibri" w:hAnsi="Calibri" w:cs="Calibri" w:eastAsia="Microsoft YaHei"/>
                <w:b/>
                <w:color w:val="FFFFFF"/>
                <w:sz w:val="18"/>
              </w:rPr>
              <w:t>Status</w:t>
            </w:r>
          </w:p>
        </w:tc>
      </w:tr>
      <w:tr>
        <w:tc>
          <w:tcPr>
            <w:tcW w:type="dxa" w:w="4646"/>
          </w:tcPr>
          <w:p>
            <w:pPr>
              <w:spacing w:line="300" w:lineRule="auto" w:after="0"/>
            </w:pPr>
            <w:r/>
            <w:r>
              <w:rPr>
                <w:rFonts w:ascii="Calibri" w:hAnsi="Calibri" w:cs="Calibri" w:eastAsia="Microsoft YaHei"/>
                <w:b w:val="0"/>
                <w:sz w:val="18"/>
              </w:rPr>
              <w:t>Multilingual website and learning content</w:t>
            </w:r>
          </w:p>
        </w:tc>
        <w:tc>
          <w:tcPr>
            <w:tcW w:type="dxa" w:w="4646"/>
          </w:tcPr>
          <w:p>
            <w:pPr>
              <w:spacing w:line="300" w:lineRule="auto" w:after="0"/>
            </w:pPr>
            <w:r/>
            <w:r>
              <w:rPr>
                <w:rFonts w:ascii="Calibri" w:hAnsi="Calibri" w:cs="Calibri" w:eastAsia="Microsoft YaHei"/>
                <w:b w:val="0"/>
                <w:sz w:val="18"/>
              </w:rPr>
              <w:t>A multilingual site with account sign-up and sign-in; articles, mentor profiles and reading material covering Eastern and Western traditions and contemporary thought, with sources noted; courses are being added over time</w:t>
            </w:r>
          </w:p>
        </w:tc>
      </w:tr>
      <w:tr>
        <w:tc>
          <w:tcPr>
            <w:tcW w:type="dxa" w:w="4646"/>
            <w:shd w:val="clear" w:color="auto" w:fill="F3EFF8"/>
          </w:tcPr>
          <w:p>
            <w:pPr>
              <w:spacing w:line="300" w:lineRule="auto" w:after="0"/>
            </w:pPr>
            <w:r/>
            <w:r>
              <w:rPr>
                <w:rFonts w:ascii="Calibri" w:hAnsi="Calibri" w:cs="Calibri" w:eastAsia="Microsoft YaHei"/>
                <w:b w:val="0"/>
                <w:sz w:val="18"/>
              </w:rPr>
              <w:t>AI practice companion</w:t>
            </w:r>
          </w:p>
        </w:tc>
        <w:tc>
          <w:tcPr>
            <w:tcW w:type="dxa" w:w="4646"/>
            <w:shd w:val="clear" w:color="auto" w:fill="F3EFF8"/>
          </w:tcPr>
          <w:p>
            <w:pPr>
              <w:spacing w:line="300" w:lineRule="auto" w:after="0"/>
            </w:pPr>
            <w:r/>
            <w:r>
              <w:rPr>
                <w:rFonts w:ascii="Calibri" w:hAnsi="Calibri" w:cs="Calibri" w:eastAsia="Microsoft YaHei"/>
                <w:b w:val="0"/>
                <w:sz w:val="18"/>
              </w:rPr>
              <w:t>An AI assistant built into the site that accompanies your learning and answers questions</w:t>
            </w:r>
          </w:p>
        </w:tc>
      </w:tr>
      <w:tr>
        <w:tc>
          <w:tcPr>
            <w:tcW w:type="dxa" w:w="4646"/>
          </w:tcPr>
          <w:p>
            <w:pPr>
              <w:spacing w:line="300" w:lineRule="auto" w:after="0"/>
            </w:pPr>
            <w:r/>
            <w:r>
              <w:rPr>
                <w:rFonts w:ascii="Calibri" w:hAnsi="Calibri" w:cs="Calibri" w:eastAsia="Microsoft YaHei"/>
                <w:b w:val="0"/>
                <w:sz w:val="18"/>
              </w:rPr>
              <w:t>Consultations and Q&amp;A</w:t>
            </w:r>
          </w:p>
        </w:tc>
        <w:tc>
          <w:tcPr>
            <w:tcW w:type="dxa" w:w="4646"/>
          </w:tcPr>
          <w:p>
            <w:pPr>
              <w:spacing w:line="300" w:lineRule="auto" w:after="0"/>
            </w:pPr>
            <w:r/>
            <w:r>
              <w:rPr>
                <w:rFonts w:ascii="Calibri" w:hAnsi="Calibri" w:cs="Calibri" w:eastAsia="Microsoft YaHei"/>
                <w:b w:val="0"/>
                <w:sz w:val="18"/>
              </w:rPr>
              <w:t>One-to-one consultations and paid Q&amp;A; paid Q&amp;A is settled through an on-chain escrow contract</w:t>
            </w:r>
          </w:p>
        </w:tc>
      </w:tr>
      <w:tr>
        <w:tc>
          <w:tcPr>
            <w:tcW w:type="dxa" w:w="4646"/>
            <w:shd w:val="clear" w:color="auto" w:fill="F3EFF8"/>
          </w:tcPr>
          <w:p>
            <w:pPr>
              <w:spacing w:line="300" w:lineRule="auto" w:after="0"/>
            </w:pPr>
            <w:r/>
            <w:r>
              <w:rPr>
                <w:rFonts w:ascii="Calibri" w:hAnsi="Calibri" w:cs="Calibri" w:eastAsia="Microsoft YaHei"/>
                <w:b w:val="0"/>
                <w:sz w:val="18"/>
              </w:rPr>
              <w:t>Membership and wallet linking</w:t>
            </w:r>
          </w:p>
        </w:tc>
        <w:tc>
          <w:tcPr>
            <w:tcW w:type="dxa" w:w="4646"/>
            <w:shd w:val="clear" w:color="auto" w:fill="F3EFF8"/>
          </w:tcPr>
          <w:p>
            <w:pPr>
              <w:spacing w:line="300" w:lineRule="auto" w:after="0"/>
            </w:pPr>
            <w:r/>
            <w:r>
              <w:rPr>
                <w:rFonts w:ascii="Calibri" w:hAnsi="Calibri" w:cs="Calibri" w:eastAsia="Microsoft YaHei"/>
                <w:b w:val="0"/>
                <w:sz w:val="18"/>
              </w:rPr>
              <w:t>Holders can link an ORDL address to their account with a wallet signature, in three tiers (Fellow / Supporter / Patron). The perks are mainly service conveniences, plus a capped course discount</w:t>
            </w:r>
          </w:p>
        </w:tc>
      </w:tr>
      <w:tr>
        <w:tc>
          <w:tcPr>
            <w:tcW w:type="dxa" w:w="4646"/>
          </w:tcPr>
          <w:p>
            <w:pPr>
              <w:spacing w:line="300" w:lineRule="auto" w:after="0"/>
            </w:pPr>
            <w:r/>
            <w:r>
              <w:rPr>
                <w:rFonts w:ascii="Calibri" w:hAnsi="Calibri" w:cs="Calibri" w:eastAsia="Microsoft YaHei"/>
                <w:b w:val="0"/>
                <w:sz w:val="18"/>
              </w:rPr>
              <w:t>On-chain settlement and donations</w:t>
            </w:r>
          </w:p>
        </w:tc>
        <w:tc>
          <w:tcPr>
            <w:tcW w:type="dxa" w:w="4646"/>
          </w:tcPr>
          <w:p>
            <w:pPr>
              <w:spacing w:line="300" w:lineRule="auto" w:after="0"/>
            </w:pPr>
            <w:r/>
            <w:r>
              <w:rPr>
                <w:rFonts w:ascii="Calibri" w:hAnsi="Calibri" w:cs="Calibri" w:eastAsia="Microsoft YaHei"/>
                <w:b w:val="0"/>
                <w:sz w:val="18"/>
              </w:rPr>
              <w:t>Payments for paid Q&amp;A go into an escrow contract before being released; voluntary support can be any amount, and ORDL received goes to a dedicated address that only holds and never sells, with its balance published every month</w:t>
            </w:r>
          </w:p>
        </w:tc>
      </w:tr>
      <w:tr>
        <w:tc>
          <w:tcPr>
            <w:tcW w:type="dxa" w:w="4646"/>
            <w:shd w:val="clear" w:color="auto" w:fill="F3EFF8"/>
          </w:tcPr>
          <w:p>
            <w:pPr>
              <w:spacing w:line="300" w:lineRule="auto" w:after="0"/>
            </w:pPr>
            <w:r/>
            <w:r>
              <w:rPr>
                <w:rFonts w:ascii="Calibri" w:hAnsi="Calibri" w:cs="Calibri" w:eastAsia="Microsoft YaHei"/>
                <w:b w:val="0"/>
                <w:sz w:val="18"/>
              </w:rPr>
              <w:t>Self-observation tools</w:t>
            </w:r>
          </w:p>
        </w:tc>
        <w:tc>
          <w:tcPr>
            <w:tcW w:type="dxa" w:w="4646"/>
            <w:shd w:val="clear" w:color="auto" w:fill="F3EFF8"/>
          </w:tcPr>
          <w:p>
            <w:pPr>
              <w:spacing w:line="300" w:lineRule="auto" w:after="0"/>
            </w:pPr>
            <w:r/>
            <w:r>
              <w:rPr>
                <w:rFonts w:ascii="Calibri" w:hAnsi="Calibri" w:cs="Calibri" w:eastAsia="Microsoft YaHei"/>
                <w:b w:val="0"/>
                <w:sz w:val="18"/>
              </w:rPr>
              <w:t>Self-observation tools based on the traditional calendar and astrology</w:t>
            </w:r>
          </w:p>
        </w:tc>
      </w:tr>
      <w:tr>
        <w:tc>
          <w:tcPr>
            <w:tcW w:type="dxa" w:w="4646"/>
          </w:tcPr>
          <w:p>
            <w:pPr>
              <w:spacing w:line="300" w:lineRule="auto" w:after="0"/>
            </w:pPr>
            <w:r/>
            <w:r>
              <w:rPr>
                <w:rFonts w:ascii="Calibri" w:hAnsi="Calibri" w:cs="Calibri" w:eastAsia="Microsoft YaHei"/>
                <w:b w:val="0"/>
                <w:sz w:val="18"/>
              </w:rPr>
              <w:t>Public experiments</w:t>
            </w:r>
          </w:p>
        </w:tc>
        <w:tc>
          <w:tcPr>
            <w:tcW w:type="dxa" w:w="4646"/>
          </w:tcPr>
          <w:p>
            <w:pPr>
              <w:spacing w:line="300" w:lineRule="auto" w:after="0"/>
            </w:pPr>
            <w:r/>
            <w:r>
              <w:rPr>
                <w:rFonts w:ascii="Calibri" w:hAnsi="Calibri" w:cs="Calibri" w:eastAsia="Microsoft YaHei"/>
                <w:b w:val="0"/>
                <w:sz w:val="18"/>
              </w:rPr>
              <w:t>Small, testable experiments run in public at regular intervals; results are published whether right or wrong</w:t>
            </w:r>
          </w:p>
        </w:tc>
      </w:tr>
      <w:tr>
        <w:tc>
          <w:tcPr>
            <w:tcW w:type="dxa" w:w="4646"/>
            <w:shd w:val="clear" w:color="auto" w:fill="F3EFF8"/>
          </w:tcPr>
          <w:p>
            <w:pPr>
              <w:spacing w:line="300" w:lineRule="auto" w:after="0"/>
            </w:pPr>
            <w:r/>
            <w:r>
              <w:rPr>
                <w:rFonts w:ascii="Calibri" w:hAnsi="Calibri" w:cs="Calibri" w:eastAsia="Microsoft YaHei"/>
                <w:b w:val="0"/>
                <w:sz w:val="18"/>
              </w:rPr>
              <w:t>Systems</w:t>
            </w:r>
          </w:p>
        </w:tc>
        <w:tc>
          <w:tcPr>
            <w:tcW w:type="dxa" w:w="4646"/>
            <w:shd w:val="clear" w:color="auto" w:fill="F3EFF8"/>
          </w:tcPr>
          <w:p>
            <w:pPr>
              <w:spacing w:line="300" w:lineRule="auto" w:after="0"/>
            </w:pPr>
            <w:r/>
            <w:r>
              <w:rPr>
                <w:rFonts w:ascii="Calibri" w:hAnsi="Calibri" w:cs="Calibri" w:eastAsia="Microsoft YaHei"/>
                <w:b w:val="0"/>
                <w:sz w:val="18"/>
              </w:rPr>
              <w:t>As simple as possible; one person can maintain them</w:t>
            </w:r>
          </w:p>
        </w:tc>
      </w:tr>
    </w:tbl>
    <w:p/>
    <w:p>
      <w:r>
        <w:rPr>
          <w:rFonts w:ascii="Calibri" w:hAnsi="Calibri" w:cs="Calibri" w:eastAsia="Microsoft YaHei"/>
          <w:b w:val="0"/>
        </w:rPr>
        <w:t>A few things about holder perks need to be clear:</w:t>
      </w:r>
    </w:p>
    <w:p>
      <w:pPr>
        <w:pStyle w:val="ListBullet"/>
      </w:pPr>
      <w:r>
        <w:rPr>
          <w:rFonts w:ascii="Calibri" w:hAnsi="Calibri" w:cs="Calibri" w:eastAsia="Microsoft YaHei"/>
          <w:b w:val="0"/>
        </w:rPr>
        <w:t>Perks are membership conveniences that come with community identity, mainly services. The only one related to price is a course discount: once courses are live, Fellow gets 10% off, Supporter 20% off and Patron 30% off, with a maximum saving of 100 USDC per account per year. Apart from the course discount, all services cost the same for holders and non-holders.</w:t>
      </w:r>
    </w:p>
    <w:p>
      <w:pPr>
        <w:pStyle w:val="ListBullet"/>
      </w:pPr>
      <w:r>
        <w:rPr>
          <w:rFonts w:ascii="Calibri" w:hAnsi="Calibri" w:cs="Calibri" w:eastAsia="Microsoft YaHei"/>
          <w:b w:val="0"/>
        </w:rPr>
        <w:t>Perks are not payments, returns or rewards. They cannot be transferred or exchanged and have nothing to do with any holder distribution. Perks may be changed or stopped, with 30 days’ notice.</w:t>
      </w:r>
    </w:p>
    <w:p>
      <w:pPr>
        <w:pStyle w:val="ListBullet"/>
      </w:pPr>
      <w:r>
        <w:rPr>
          <w:rFonts w:ascii="Calibri" w:hAnsi="Calibri" w:cs="Calibri" w:eastAsia="Microsoft YaHei"/>
          <w:b w:val="0"/>
        </w:rPr>
        <w:t xml:space="preserve">Holder dividends and claiming are currently </w:t>
      </w:r>
      <w:r>
        <w:rPr>
          <w:rFonts w:ascii="Calibri" w:hAnsi="Calibri" w:cs="Calibri" w:eastAsia="Microsoft YaHei"/>
          <w:b/>
        </w:rPr>
        <w:t>switched off</w:t>
      </w:r>
      <w:r>
        <w:rPr>
          <w:rFonts w:ascii="Calibri" w:hAnsi="Calibri" w:cs="Calibri" w:eastAsia="Microsoft YaHei"/>
          <w:b w:val="0"/>
        </w:rPr>
        <w:t>. This is a decision we made deliberately.</w:t>
      </w:r>
    </w:p>
    <w:p>
      <w:r>
        <w:rPr>
          <w:rFonts w:ascii="Calibri" w:hAnsi="Calibri" w:cs="Calibri" w:eastAsia="Microsoft YaHei"/>
          <w:b/>
        </w:rPr>
        <w:t>In progress</w:t>
      </w:r>
      <w:r>
        <w:rPr>
          <w:rFonts w:ascii="Calibri" w:hAnsi="Calibri" w:cs="Calibri" w:eastAsia="Microsoft YaHei"/>
          <w:b w:val="0"/>
        </w:rPr>
        <w:t>: practice tools and publications. We will invite community members to take part as co-creators in testing, reading and feedback, but we will not pay for reviews.</w:t>
      </w:r>
    </w:p>
    <w:p>
      <w:pPr>
        <w:pStyle w:val="Heading1"/>
      </w:pPr>
      <w:r>
        <w:t>4. From Lab to League: three stages</w:t>
      </w:r>
    </w:p>
    <w:p>
      <w:r>
        <w:rPr>
          <w:rFonts w:ascii="Calibri" w:hAnsi="Calibri" w:cs="Calibri" w:eastAsia="Microsoft YaHei"/>
          <w:b w:val="0"/>
        </w:rPr>
        <w:t>We divide the future into three stages. The conditions for each stage are written as milestones that can be checked; we move on only when they are met, not according to a calendar. The exact numbers in the tables below have not been set yet and are all marked “TBD”; they will be announced in advance once decided.</w:t>
      </w:r>
    </w:p>
    <w:p>
      <w:pPr>
        <w:pStyle w:val="Heading3"/>
      </w:pPr>
      <w:r>
        <w:t>Stage 1: Lab (laboratory) — now</w:t>
      </w:r>
    </w:p>
    <w:p>
      <w:r>
        <w:rPr>
          <w:rFonts w:ascii="Calibri" w:hAnsi="Calibri" w:cs="Calibri" w:eastAsia="Microsoft YaHei"/>
          <w:b/>
        </w:rPr>
        <w:t>What happens</w:t>
      </w:r>
      <w:r>
        <w:rPr>
          <w:rFonts w:ascii="Calibri" w:hAnsi="Calibri" w:cs="Calibri" w:eastAsia="Microsoft YaHei"/>
          <w:b w:val="0"/>
        </w:rPr>
        <w:t>: research, content, tools, experiments. A small team lays the foundations: website and learning content, AI practice companion, consultations and Q&amp;A, public experiments, practice tools and publications.</w:t>
      </w:r>
    </w:p>
    <w:p>
      <w:pPr>
        <w:spacing w:after="40"/>
      </w:pPr>
      <w:r>
        <w:rPr>
          <w:rFonts w:ascii="Calibri" w:hAnsi="Calibri" w:cs="Calibri" w:eastAsia="Microsoft YaHei"/>
          <w:b/>
        </w:rPr>
        <w:t>Milestones for entering Stage 2 (all must be met):</w:t>
      </w:r>
    </w:p>
    <w:tbl>
      <w:tblPr>
        <w:tblStyle w:val="TableGrid"/>
        <w:tblW w:type="auto" w:w="0"/>
        <w:jc w:val="center"/>
        <w:tblLook w:firstColumn="1" w:firstRow="1" w:lastColumn="0" w:lastRow="0" w:noHBand="0" w:noVBand="1" w:val="04A0"/>
      </w:tblPr>
      <w:tblGrid>
        <w:gridCol w:w="4646"/>
        <w:gridCol w:w="4646"/>
      </w:tblGrid>
      <w:tr>
        <w:tc>
          <w:tcPr>
            <w:tcW w:type="dxa" w:w="4646"/>
            <w:shd w:val="clear" w:color="auto" w:fill="5B3A8C"/>
          </w:tcPr>
          <w:p>
            <w:pPr>
              <w:spacing w:line="300" w:lineRule="auto" w:after="0"/>
            </w:pPr>
            <w:r/>
            <w:r>
              <w:rPr>
                <w:rFonts w:ascii="Calibri" w:hAnsi="Calibri" w:cs="Calibri" w:eastAsia="Microsoft YaHei"/>
                <w:b/>
                <w:color w:val="FFFFFF"/>
                <w:sz w:val="18"/>
              </w:rPr>
              <w:t>Area</w:t>
            </w:r>
          </w:p>
        </w:tc>
        <w:tc>
          <w:tcPr>
            <w:tcW w:type="dxa" w:w="4646"/>
            <w:shd w:val="clear" w:color="auto" w:fill="5B3A8C"/>
          </w:tcPr>
          <w:p>
            <w:pPr>
              <w:spacing w:line="300" w:lineRule="auto" w:after="0"/>
            </w:pPr>
            <w:r/>
            <w:r>
              <w:rPr>
                <w:rFonts w:ascii="Calibri" w:hAnsi="Calibri" w:cs="Calibri" w:eastAsia="Microsoft YaHei"/>
                <w:b/>
                <w:color w:val="FFFFFF"/>
                <w:sz w:val="18"/>
              </w:rPr>
              <w:t>Milestone</w:t>
            </w:r>
          </w:p>
        </w:tc>
      </w:tr>
      <w:tr>
        <w:tc>
          <w:tcPr>
            <w:tcW w:type="dxa" w:w="4646"/>
          </w:tcPr>
          <w:p>
            <w:pPr>
              <w:spacing w:line="300" w:lineRule="auto" w:after="0"/>
            </w:pPr>
            <w:r/>
            <w:r>
              <w:rPr>
                <w:rFonts w:ascii="Calibri" w:hAnsi="Calibri" w:cs="Calibri" w:eastAsia="Microsoft YaHei"/>
                <w:b w:val="0"/>
                <w:sz w:val="18"/>
              </w:rPr>
              <w:t>Members</w:t>
            </w:r>
          </w:p>
        </w:tc>
        <w:tc>
          <w:tcPr>
            <w:tcW w:type="dxa" w:w="4646"/>
          </w:tcPr>
          <w:p>
            <w:pPr>
              <w:spacing w:line="300" w:lineRule="auto" w:after="0"/>
            </w:pPr>
            <w:r/>
            <w:r>
              <w:rPr>
                <w:rFonts w:ascii="Calibri" w:hAnsi="Calibri" w:cs="Calibri" w:eastAsia="Microsoft YaHei"/>
                <w:b w:val="0"/>
                <w:sz w:val="18"/>
              </w:rPr>
              <w:t>Registered members reach TBD</w:t>
            </w:r>
          </w:p>
        </w:tc>
      </w:tr>
      <w:tr>
        <w:tc>
          <w:tcPr>
            <w:tcW w:type="dxa" w:w="4646"/>
            <w:shd w:val="clear" w:color="auto" w:fill="F3EFF8"/>
          </w:tcPr>
          <w:p>
            <w:pPr>
              <w:spacing w:line="300" w:lineRule="auto" w:after="0"/>
            </w:pPr>
            <w:r/>
            <w:r>
              <w:rPr>
                <w:rFonts w:ascii="Calibri" w:hAnsi="Calibri" w:cs="Calibri" w:eastAsia="Microsoft YaHei"/>
                <w:b w:val="0"/>
                <w:sz w:val="18"/>
              </w:rPr>
              <w:t>Practitioners</w:t>
            </w:r>
          </w:p>
        </w:tc>
        <w:tc>
          <w:tcPr>
            <w:tcW w:type="dxa" w:w="4646"/>
            <w:shd w:val="clear" w:color="auto" w:fill="F3EFF8"/>
          </w:tcPr>
          <w:p>
            <w:pPr>
              <w:spacing w:line="300" w:lineRule="auto" w:after="0"/>
            </w:pPr>
            <w:r/>
            <w:r>
              <w:rPr>
                <w:rFonts w:ascii="Calibri" w:hAnsi="Calibri" w:cs="Calibri" w:eastAsia="Microsoft YaHei"/>
                <w:b w:val="0"/>
                <w:sz w:val="18"/>
              </w:rPr>
              <w:t>TBD members keep submitting practice records, sustained for TBD months</w:t>
            </w:r>
          </w:p>
        </w:tc>
      </w:tr>
      <w:tr>
        <w:tc>
          <w:tcPr>
            <w:tcW w:type="dxa" w:w="4646"/>
          </w:tcPr>
          <w:p>
            <w:pPr>
              <w:spacing w:line="300" w:lineRule="auto" w:after="0"/>
            </w:pPr>
            <w:r/>
            <w:r>
              <w:rPr>
                <w:rFonts w:ascii="Calibri" w:hAnsi="Calibri" w:cs="Calibri" w:eastAsia="Microsoft YaHei"/>
                <w:b w:val="0"/>
                <w:sz w:val="18"/>
              </w:rPr>
              <w:t>Income</w:t>
            </w:r>
          </w:p>
        </w:tc>
        <w:tc>
          <w:tcPr>
            <w:tcW w:type="dxa" w:w="4646"/>
          </w:tcPr>
          <w:p>
            <w:pPr>
              <w:spacing w:line="300" w:lineRule="auto" w:after="0"/>
            </w:pPr>
            <w:r/>
            <w:r>
              <w:rPr>
                <w:rFonts w:ascii="Calibri" w:hAnsi="Calibri" w:cs="Calibri" w:eastAsia="Microsoft YaHei"/>
                <w:b w:val="0"/>
                <w:sz w:val="18"/>
              </w:rPr>
              <w:t>Operating coverage (operating income ÷ operating expenses) ≥ 1 for TBD consecutive months</w:t>
            </w:r>
          </w:p>
        </w:tc>
      </w:tr>
      <w:tr>
        <w:tc>
          <w:tcPr>
            <w:tcW w:type="dxa" w:w="4646"/>
            <w:shd w:val="clear" w:color="auto" w:fill="F3EFF8"/>
          </w:tcPr>
          <w:p>
            <w:pPr>
              <w:spacing w:line="300" w:lineRule="auto" w:after="0"/>
            </w:pPr>
            <w:r/>
            <w:r>
              <w:rPr>
                <w:rFonts w:ascii="Calibri" w:hAnsi="Calibri" w:cs="Calibri" w:eastAsia="Microsoft YaHei"/>
                <w:b w:val="0"/>
                <w:sz w:val="18"/>
              </w:rPr>
              <w:t>Reserves</w:t>
            </w:r>
          </w:p>
        </w:tc>
        <w:tc>
          <w:tcPr>
            <w:tcW w:type="dxa" w:w="4646"/>
            <w:shd w:val="clear" w:color="auto" w:fill="F3EFF8"/>
          </w:tcPr>
          <w:p>
            <w:pPr>
              <w:spacing w:line="300" w:lineRule="auto" w:after="0"/>
            </w:pPr>
            <w:r/>
            <w:r>
              <w:rPr>
                <w:rFonts w:ascii="Calibri" w:hAnsi="Calibri" w:cs="Calibri" w:eastAsia="Microsoft YaHei"/>
                <w:b w:val="0"/>
                <w:sz w:val="18"/>
              </w:rPr>
              <w:t>Operating account balance ≥ 6 months of operating expenses</w:t>
            </w:r>
          </w:p>
        </w:tc>
      </w:tr>
      <w:tr>
        <w:tc>
          <w:tcPr>
            <w:tcW w:type="dxa" w:w="4646"/>
          </w:tcPr>
          <w:p>
            <w:pPr>
              <w:spacing w:line="300" w:lineRule="auto" w:after="0"/>
            </w:pPr>
            <w:r/>
            <w:r>
              <w:rPr>
                <w:rFonts w:ascii="Calibri" w:hAnsi="Calibri" w:cs="Calibri" w:eastAsia="Microsoft YaHei"/>
                <w:b w:val="0"/>
                <w:sz w:val="18"/>
              </w:rPr>
              <w:t>Governance</w:t>
            </w:r>
          </w:p>
        </w:tc>
        <w:tc>
          <w:tcPr>
            <w:tcW w:type="dxa" w:w="4646"/>
          </w:tcPr>
          <w:p>
            <w:pPr>
              <w:spacing w:line="300" w:lineRule="auto" w:after="0"/>
            </w:pPr>
            <w:r/>
            <w:r>
              <w:rPr>
                <w:rFonts w:ascii="Calibri" w:hAnsi="Calibri" w:cs="Calibri" w:eastAsia="Microsoft YaHei"/>
                <w:b w:val="0"/>
                <w:sz w:val="18"/>
              </w:rPr>
              <w:t>A 2-of-3 multisig is set up and its signers (including at least one independent signer) are announced; monthly accounts published for TBD consecutive months</w:t>
            </w:r>
          </w:p>
        </w:tc>
      </w:tr>
      <w:tr>
        <w:tc>
          <w:tcPr>
            <w:tcW w:type="dxa" w:w="4646"/>
            <w:shd w:val="clear" w:color="auto" w:fill="F3EFF8"/>
          </w:tcPr>
          <w:p>
            <w:pPr>
              <w:spacing w:line="300" w:lineRule="auto" w:after="0"/>
            </w:pPr>
            <w:r/>
            <w:r>
              <w:rPr>
                <w:rFonts w:ascii="Calibri" w:hAnsi="Calibri" w:cs="Calibri" w:eastAsia="Microsoft YaHei"/>
                <w:b w:val="0"/>
                <w:sz w:val="18"/>
              </w:rPr>
              <w:t>Products</w:t>
            </w:r>
          </w:p>
        </w:tc>
        <w:tc>
          <w:tcPr>
            <w:tcW w:type="dxa" w:w="4646"/>
            <w:shd w:val="clear" w:color="auto" w:fill="F3EFF8"/>
          </w:tcPr>
          <w:p>
            <w:pPr>
              <w:spacing w:line="300" w:lineRule="auto" w:after="0"/>
            </w:pPr>
            <w:r/>
            <w:r>
              <w:rPr>
                <w:rFonts w:ascii="Calibri" w:hAnsi="Calibri" w:cs="Calibri" w:eastAsia="Microsoft YaHei"/>
                <w:b w:val="0"/>
                <w:sz w:val="18"/>
              </w:rPr>
              <w:t>First practice tools and publications released</w:t>
            </w:r>
          </w:p>
        </w:tc>
      </w:tr>
    </w:tbl>
    <w:p/>
    <w:p>
      <w:pPr>
        <w:pStyle w:val="Heading3"/>
      </w:pPr>
      <w:r>
        <w:t>Stage 2: Guild (a community of practice)</w:t>
      </w:r>
    </w:p>
    <w:p>
      <w:r>
        <w:rPr>
          <w:rFonts w:ascii="Calibri" w:hAnsi="Calibri" w:cs="Calibri" w:eastAsia="Microsoft YaHei"/>
          <w:b/>
        </w:rPr>
        <w:t>What happens</w:t>
      </w:r>
      <w:r>
        <w:rPr>
          <w:rFonts w:ascii="Calibri" w:hAnsi="Calibri" w:cs="Calibri" w:eastAsia="Microsoft YaHei"/>
          <w:b w:val="0"/>
        </w:rPr>
        <w:t>: from “we build it and show you” to “we all build it together”. Practitioners, builders and mentors form small groups, each responsible for content, courses, translation, testing, leading practice or answering questions. Contributions start to be recorded and seen, and start to be rewarded under public rules (see Chapter 5).</w:t>
      </w:r>
    </w:p>
    <w:p>
      <w:pPr>
        <w:spacing w:after="40"/>
      </w:pPr>
      <w:r>
        <w:rPr>
          <w:rFonts w:ascii="Calibri" w:hAnsi="Calibri" w:cs="Calibri" w:eastAsia="Microsoft YaHei"/>
          <w:b/>
        </w:rPr>
        <w:t>Milestones for entering Stage 3 (all must be met):</w:t>
      </w:r>
    </w:p>
    <w:tbl>
      <w:tblPr>
        <w:tblStyle w:val="TableGrid"/>
        <w:tblW w:type="auto" w:w="0"/>
        <w:jc w:val="center"/>
        <w:tblLook w:firstColumn="1" w:firstRow="1" w:lastColumn="0" w:lastRow="0" w:noHBand="0" w:noVBand="1" w:val="04A0"/>
      </w:tblPr>
      <w:tblGrid>
        <w:gridCol w:w="4646"/>
        <w:gridCol w:w="4646"/>
      </w:tblGrid>
      <w:tr>
        <w:tc>
          <w:tcPr>
            <w:tcW w:type="dxa" w:w="4646"/>
            <w:shd w:val="clear" w:color="auto" w:fill="5B3A8C"/>
          </w:tcPr>
          <w:p>
            <w:pPr>
              <w:spacing w:line="300" w:lineRule="auto" w:after="0"/>
            </w:pPr>
            <w:r/>
            <w:r>
              <w:rPr>
                <w:rFonts w:ascii="Calibri" w:hAnsi="Calibri" w:cs="Calibri" w:eastAsia="Microsoft YaHei"/>
                <w:b/>
                <w:color w:val="FFFFFF"/>
                <w:sz w:val="18"/>
              </w:rPr>
              <w:t>Area</w:t>
            </w:r>
          </w:p>
        </w:tc>
        <w:tc>
          <w:tcPr>
            <w:tcW w:type="dxa" w:w="4646"/>
            <w:shd w:val="clear" w:color="auto" w:fill="5B3A8C"/>
          </w:tcPr>
          <w:p>
            <w:pPr>
              <w:spacing w:line="300" w:lineRule="auto" w:after="0"/>
            </w:pPr>
            <w:r/>
            <w:r>
              <w:rPr>
                <w:rFonts w:ascii="Calibri" w:hAnsi="Calibri" w:cs="Calibri" w:eastAsia="Microsoft YaHei"/>
                <w:b/>
                <w:color w:val="FFFFFF"/>
                <w:sz w:val="18"/>
              </w:rPr>
              <w:t>Milestone</w:t>
            </w:r>
          </w:p>
        </w:tc>
      </w:tr>
      <w:tr>
        <w:tc>
          <w:tcPr>
            <w:tcW w:type="dxa" w:w="4646"/>
          </w:tcPr>
          <w:p>
            <w:pPr>
              <w:spacing w:line="300" w:lineRule="auto" w:after="0"/>
            </w:pPr>
            <w:r/>
            <w:r>
              <w:rPr>
                <w:rFonts w:ascii="Calibri" w:hAnsi="Calibri" w:cs="Calibri" w:eastAsia="Microsoft YaHei"/>
                <w:b w:val="0"/>
                <w:sz w:val="18"/>
              </w:rPr>
              <w:t>Members</w:t>
            </w:r>
          </w:p>
        </w:tc>
        <w:tc>
          <w:tcPr>
            <w:tcW w:type="dxa" w:w="4646"/>
          </w:tcPr>
          <w:p>
            <w:pPr>
              <w:spacing w:line="300" w:lineRule="auto" w:after="0"/>
            </w:pPr>
            <w:r/>
            <w:r>
              <w:rPr>
                <w:rFonts w:ascii="Calibri" w:hAnsi="Calibri" w:cs="Calibri" w:eastAsia="Microsoft YaHei"/>
                <w:b w:val="0"/>
                <w:sz w:val="18"/>
              </w:rPr>
              <w:t>Active members reach TBD</w:t>
            </w:r>
          </w:p>
        </w:tc>
      </w:tr>
      <w:tr>
        <w:tc>
          <w:tcPr>
            <w:tcW w:type="dxa" w:w="4646"/>
            <w:shd w:val="clear" w:color="auto" w:fill="F3EFF8"/>
          </w:tcPr>
          <w:p>
            <w:pPr>
              <w:spacing w:line="300" w:lineRule="auto" w:after="0"/>
            </w:pPr>
            <w:r/>
            <w:r>
              <w:rPr>
                <w:rFonts w:ascii="Calibri" w:hAnsi="Calibri" w:cs="Calibri" w:eastAsia="Microsoft YaHei"/>
                <w:b w:val="0"/>
                <w:sz w:val="18"/>
              </w:rPr>
              <w:t>Practitioners and mentors</w:t>
            </w:r>
          </w:p>
        </w:tc>
        <w:tc>
          <w:tcPr>
            <w:tcW w:type="dxa" w:w="4646"/>
            <w:shd w:val="clear" w:color="auto" w:fill="F3EFF8"/>
          </w:tcPr>
          <w:p>
            <w:pPr>
              <w:spacing w:line="300" w:lineRule="auto" w:after="0"/>
            </w:pPr>
            <w:r/>
            <w:r>
              <w:rPr>
                <w:rFonts w:ascii="Calibri" w:hAnsi="Calibri" w:cs="Calibri" w:eastAsia="Microsoft YaHei"/>
                <w:b w:val="0"/>
                <w:sz w:val="18"/>
              </w:rPr>
              <w:t>TBD members and mentors able to lead practice; public records of led practice</w:t>
            </w:r>
          </w:p>
        </w:tc>
      </w:tr>
      <w:tr>
        <w:tc>
          <w:tcPr>
            <w:tcW w:type="dxa" w:w="4646"/>
          </w:tcPr>
          <w:p>
            <w:pPr>
              <w:spacing w:line="300" w:lineRule="auto" w:after="0"/>
            </w:pPr>
            <w:r/>
            <w:r>
              <w:rPr>
                <w:rFonts w:ascii="Calibri" w:hAnsi="Calibri" w:cs="Calibri" w:eastAsia="Microsoft YaHei"/>
                <w:b w:val="0"/>
                <w:sz w:val="18"/>
              </w:rPr>
              <w:t>Income</w:t>
            </w:r>
          </w:p>
        </w:tc>
        <w:tc>
          <w:tcPr>
            <w:tcW w:type="dxa" w:w="4646"/>
          </w:tcPr>
          <w:p>
            <w:pPr>
              <w:spacing w:line="300" w:lineRule="auto" w:after="0"/>
            </w:pPr>
            <w:r/>
            <w:r>
              <w:rPr>
                <w:rFonts w:ascii="Calibri" w:hAnsi="Calibri" w:cs="Calibri" w:eastAsia="Microsoft YaHei"/>
                <w:b w:val="0"/>
                <w:sz w:val="18"/>
              </w:rPr>
              <w:t>The community’s real income covers all operating expenses, with realised profit for TBD consecutive months</w:t>
            </w:r>
          </w:p>
        </w:tc>
      </w:tr>
      <w:tr>
        <w:tc>
          <w:tcPr>
            <w:tcW w:type="dxa" w:w="4646"/>
            <w:shd w:val="clear" w:color="auto" w:fill="F3EFF8"/>
          </w:tcPr>
          <w:p>
            <w:pPr>
              <w:spacing w:line="300" w:lineRule="auto" w:after="0"/>
            </w:pPr>
            <w:r/>
            <w:r>
              <w:rPr>
                <w:rFonts w:ascii="Calibri" w:hAnsi="Calibri" w:cs="Calibri" w:eastAsia="Microsoft YaHei"/>
                <w:b w:val="0"/>
                <w:sz w:val="18"/>
              </w:rPr>
              <w:t>Reserves</w:t>
            </w:r>
          </w:p>
        </w:tc>
        <w:tc>
          <w:tcPr>
            <w:tcW w:type="dxa" w:w="4646"/>
            <w:shd w:val="clear" w:color="auto" w:fill="F3EFF8"/>
          </w:tcPr>
          <w:p>
            <w:pPr>
              <w:spacing w:line="300" w:lineRule="auto" w:after="0"/>
            </w:pPr>
            <w:r/>
            <w:r>
              <w:rPr>
                <w:rFonts w:ascii="Calibri" w:hAnsi="Calibri" w:cs="Calibri" w:eastAsia="Microsoft YaHei"/>
                <w:b w:val="0"/>
                <w:sz w:val="18"/>
              </w:rPr>
              <w:t>The operating account keeps 6 months of expenses; a separate “practice support reserve” holds TBD months of the support budget</w:t>
            </w:r>
          </w:p>
        </w:tc>
      </w:tr>
      <w:tr>
        <w:tc>
          <w:tcPr>
            <w:tcW w:type="dxa" w:w="4646"/>
          </w:tcPr>
          <w:p>
            <w:pPr>
              <w:spacing w:line="300" w:lineRule="auto" w:after="0"/>
            </w:pPr>
            <w:r/>
            <w:r>
              <w:rPr>
                <w:rFonts w:ascii="Calibri" w:hAnsi="Calibri" w:cs="Calibri" w:eastAsia="Microsoft YaHei"/>
                <w:b w:val="0"/>
                <w:sz w:val="18"/>
              </w:rPr>
              <w:t>Governance</w:t>
            </w:r>
          </w:p>
        </w:tc>
        <w:tc>
          <w:tcPr>
            <w:tcW w:type="dxa" w:w="4646"/>
          </w:tcPr>
          <w:p>
            <w:pPr>
              <w:spacing w:line="300" w:lineRule="auto" w:after="0"/>
            </w:pPr>
            <w:r/>
            <w:r>
              <w:rPr>
                <w:rFonts w:ascii="Calibri" w:hAnsi="Calibri" w:cs="Calibri" w:eastAsia="Microsoft YaHei"/>
                <w:b w:val="0"/>
                <w:sz w:val="18"/>
              </w:rPr>
              <w:t>Changes to important rules go through public proposals and consultation; an annual third-party audit report is published</w:t>
            </w:r>
          </w:p>
        </w:tc>
      </w:tr>
      <w:tr>
        <w:tc>
          <w:tcPr>
            <w:tcW w:type="dxa" w:w="4646"/>
            <w:shd w:val="clear" w:color="auto" w:fill="F3EFF8"/>
          </w:tcPr>
          <w:p>
            <w:pPr>
              <w:spacing w:line="300" w:lineRule="auto" w:after="0"/>
            </w:pPr>
            <w:r/>
            <w:r>
              <w:rPr>
                <w:rFonts w:ascii="Calibri" w:hAnsi="Calibri" w:cs="Calibri" w:eastAsia="Microsoft YaHei"/>
                <w:b w:val="0"/>
                <w:sz w:val="18"/>
              </w:rPr>
              <w:t>Compliance</w:t>
            </w:r>
          </w:p>
        </w:tc>
        <w:tc>
          <w:tcPr>
            <w:tcW w:type="dxa" w:w="4646"/>
            <w:shd w:val="clear" w:color="auto" w:fill="F3EFF8"/>
          </w:tcPr>
          <w:p>
            <w:pPr>
              <w:spacing w:line="300" w:lineRule="auto" w:after="0"/>
            </w:pPr>
            <w:r/>
            <w:r>
              <w:rPr>
                <w:rFonts w:ascii="Calibri" w:hAnsi="Calibri" w:cs="Calibri" w:eastAsia="Microsoft YaHei"/>
                <w:b w:val="0"/>
                <w:sz w:val="18"/>
              </w:rPr>
              <w:t>Legal opinions obtained on contribution rewards and practice support</w:t>
            </w:r>
          </w:p>
        </w:tc>
      </w:tr>
    </w:tbl>
    <w:p/>
    <w:p>
      <w:pPr>
        <w:pStyle w:val="Heading3"/>
      </w:pPr>
      <w:r>
        <w:t>Stage 3: League (an alliance)</w:t>
      </w:r>
    </w:p>
    <w:p>
      <w:r>
        <w:rPr>
          <w:rFonts w:ascii="Calibri" w:hAnsi="Calibri" w:cs="Calibri" w:eastAsia="Microsoft YaHei"/>
          <w:b/>
        </w:rPr>
        <w:t>What happens</w:t>
      </w:r>
      <w:r>
        <w:rPr>
          <w:rFonts w:ascii="Calibri" w:hAnsi="Calibri" w:cs="Calibri" w:eastAsia="Microsoft YaHei"/>
          <w:b w:val="0"/>
        </w:rPr>
        <w:t>: members practise together and upgrade together. Once reserves are sufficient, the community’s own real income supports members’ practice lives under public rules. In the end, we hope members no longer need to chase money and can give themselves fully to practice.</w:t>
      </w:r>
    </w:p>
    <w:p>
      <w:pPr>
        <w:spacing w:after="40"/>
      </w:pPr>
      <w:r>
        <w:rPr>
          <w:rFonts w:ascii="Calibri" w:hAnsi="Calibri" w:cs="Calibri" w:eastAsia="Microsoft YaHei"/>
          <w:b/>
        </w:rPr>
        <w:t>Conditions this stage must keep up over the long term:</w:t>
      </w:r>
    </w:p>
    <w:tbl>
      <w:tblPr>
        <w:tblStyle w:val="TableGrid"/>
        <w:tblW w:type="auto" w:w="0"/>
        <w:jc w:val="center"/>
        <w:tblLook w:firstColumn="1" w:firstRow="1" w:lastColumn="0" w:lastRow="0" w:noHBand="0" w:noVBand="1" w:val="04A0"/>
      </w:tblPr>
      <w:tblGrid>
        <w:gridCol w:w="4646"/>
        <w:gridCol w:w="4646"/>
      </w:tblGrid>
      <w:tr>
        <w:tc>
          <w:tcPr>
            <w:tcW w:type="dxa" w:w="4646"/>
            <w:shd w:val="clear" w:color="auto" w:fill="5B3A8C"/>
          </w:tcPr>
          <w:p>
            <w:pPr>
              <w:spacing w:line="300" w:lineRule="auto" w:after="0"/>
            </w:pPr>
            <w:r/>
            <w:r>
              <w:rPr>
                <w:rFonts w:ascii="Calibri" w:hAnsi="Calibri" w:cs="Calibri" w:eastAsia="Microsoft YaHei"/>
                <w:b/>
                <w:color w:val="FFFFFF"/>
                <w:sz w:val="18"/>
              </w:rPr>
              <w:t>Area</w:t>
            </w:r>
          </w:p>
        </w:tc>
        <w:tc>
          <w:tcPr>
            <w:tcW w:type="dxa" w:w="4646"/>
            <w:shd w:val="clear" w:color="auto" w:fill="5B3A8C"/>
          </w:tcPr>
          <w:p>
            <w:pPr>
              <w:spacing w:line="300" w:lineRule="auto" w:after="0"/>
            </w:pPr>
            <w:r/>
            <w:r>
              <w:rPr>
                <w:rFonts w:ascii="Calibri" w:hAnsi="Calibri" w:cs="Calibri" w:eastAsia="Microsoft YaHei"/>
                <w:b/>
                <w:color w:val="FFFFFF"/>
                <w:sz w:val="18"/>
              </w:rPr>
              <w:t>Condition</w:t>
            </w:r>
          </w:p>
        </w:tc>
      </w:tr>
      <w:tr>
        <w:tc>
          <w:tcPr>
            <w:tcW w:type="dxa" w:w="4646"/>
          </w:tcPr>
          <w:p>
            <w:pPr>
              <w:spacing w:line="300" w:lineRule="auto" w:after="0"/>
            </w:pPr>
            <w:r/>
            <w:r>
              <w:rPr>
                <w:rFonts w:ascii="Calibri" w:hAnsi="Calibri" w:cs="Calibri" w:eastAsia="Microsoft YaHei"/>
                <w:b w:val="0"/>
                <w:sz w:val="18"/>
              </w:rPr>
              <w:t>Source of funds</w:t>
            </w:r>
          </w:p>
        </w:tc>
        <w:tc>
          <w:tcPr>
            <w:tcW w:type="dxa" w:w="4646"/>
          </w:tcPr>
          <w:p>
            <w:pPr>
              <w:spacing w:line="300" w:lineRule="auto" w:after="0"/>
            </w:pPr>
            <w:r/>
            <w:r>
              <w:rPr>
                <w:rFonts w:ascii="Calibri" w:hAnsi="Calibri" w:cs="Calibri" w:eastAsia="Microsoft YaHei"/>
                <w:b w:val="0"/>
                <w:sz w:val="18"/>
              </w:rPr>
              <w:t>Only the community’s real income: services, courses, publications and practice tools, voluntary support, goods and so on. Never paying earlier members with newcomers’ money</w:t>
            </w:r>
          </w:p>
        </w:tc>
      </w:tr>
      <w:tr>
        <w:tc>
          <w:tcPr>
            <w:tcW w:type="dxa" w:w="4646"/>
            <w:shd w:val="clear" w:color="auto" w:fill="F3EFF8"/>
          </w:tcPr>
          <w:p>
            <w:pPr>
              <w:spacing w:line="300" w:lineRule="auto" w:after="0"/>
            </w:pPr>
            <w:r/>
            <w:r>
              <w:rPr>
                <w:rFonts w:ascii="Calibri" w:hAnsi="Calibri" w:cs="Calibri" w:eastAsia="Microsoft YaHei"/>
                <w:b w:val="0"/>
                <w:sz w:val="18"/>
              </w:rPr>
              <w:t>Order</w:t>
            </w:r>
          </w:p>
        </w:tc>
        <w:tc>
          <w:tcPr>
            <w:tcW w:type="dxa" w:w="4646"/>
            <w:shd w:val="clear" w:color="auto" w:fill="F3EFF8"/>
          </w:tcPr>
          <w:p>
            <w:pPr>
              <w:spacing w:line="300" w:lineRule="auto" w:after="0"/>
            </w:pPr>
            <w:r/>
            <w:r>
              <w:rPr>
                <w:rFonts w:ascii="Calibri" w:hAnsi="Calibri" w:cs="Calibri" w:eastAsia="Microsoft YaHei"/>
                <w:b w:val="0"/>
                <w:sz w:val="18"/>
              </w:rPr>
              <w:t>First make up losses, then top up operating reserves, then fund the practice support reserve; only then talk about spending</w:t>
            </w:r>
          </w:p>
        </w:tc>
      </w:tr>
      <w:tr>
        <w:tc>
          <w:tcPr>
            <w:tcW w:type="dxa" w:w="4646"/>
          </w:tcPr>
          <w:p>
            <w:pPr>
              <w:spacing w:line="300" w:lineRule="auto" w:after="0"/>
            </w:pPr>
            <w:r/>
            <w:r>
              <w:rPr>
                <w:rFonts w:ascii="Calibri" w:hAnsi="Calibri" w:cs="Calibri" w:eastAsia="Microsoft YaHei"/>
                <w:b w:val="0"/>
                <w:sz w:val="18"/>
              </w:rPr>
              <w:t>Spending cap</w:t>
            </w:r>
          </w:p>
        </w:tc>
        <w:tc>
          <w:tcPr>
            <w:tcW w:type="dxa" w:w="4646"/>
          </w:tcPr>
          <w:p>
            <w:pPr>
              <w:spacing w:line="300" w:lineRule="auto" w:after="0"/>
            </w:pPr>
            <w:r/>
            <w:r>
              <w:rPr>
                <w:rFonts w:ascii="Calibri" w:hAnsi="Calibri" w:cs="Calibri" w:eastAsia="Microsoft YaHei"/>
                <w:b w:val="0"/>
                <w:sz w:val="18"/>
              </w:rPr>
              <w:t>Total practice support per year stays below a small share of the reserve (share TBD, following the 4% idea in v0.25)</w:t>
            </w:r>
          </w:p>
        </w:tc>
      </w:tr>
      <w:tr>
        <w:tc>
          <w:tcPr>
            <w:tcW w:type="dxa" w:w="4646"/>
            <w:shd w:val="clear" w:color="auto" w:fill="F3EFF8"/>
          </w:tcPr>
          <w:p>
            <w:pPr>
              <w:spacing w:line="300" w:lineRule="auto" w:after="0"/>
            </w:pPr>
            <w:r/>
            <w:r>
              <w:rPr>
                <w:rFonts w:ascii="Calibri" w:hAnsi="Calibri" w:cs="Calibri" w:eastAsia="Microsoft YaHei"/>
                <w:b w:val="0"/>
                <w:sz w:val="18"/>
              </w:rPr>
              <w:t>Transparency</w:t>
            </w:r>
          </w:p>
        </w:tc>
        <w:tc>
          <w:tcPr>
            <w:tcW w:type="dxa" w:w="4646"/>
            <w:shd w:val="clear" w:color="auto" w:fill="F3EFF8"/>
          </w:tcPr>
          <w:p>
            <w:pPr>
              <w:spacing w:line="300" w:lineRule="auto" w:after="0"/>
            </w:pPr>
            <w:r/>
            <w:r>
              <w:rPr>
                <w:rFonts w:ascii="Calibri" w:hAnsi="Calibri" w:cs="Calibri" w:eastAsia="Microsoft YaHei"/>
                <w:b w:val="0"/>
                <w:sz w:val="18"/>
              </w:rPr>
              <w:t>Income, reserves, the rules for the support list and the totals published every month</w:t>
            </w:r>
          </w:p>
        </w:tc>
      </w:tr>
      <w:tr>
        <w:tc>
          <w:tcPr>
            <w:tcW w:type="dxa" w:w="4646"/>
          </w:tcPr>
          <w:p>
            <w:pPr>
              <w:spacing w:line="300" w:lineRule="auto" w:after="0"/>
            </w:pPr>
            <w:r/>
            <w:r>
              <w:rPr>
                <w:rFonts w:ascii="Calibri" w:hAnsi="Calibri" w:cs="Calibri" w:eastAsia="Microsoft YaHei"/>
                <w:b w:val="0"/>
                <w:sz w:val="18"/>
              </w:rPr>
              <w:t>Fallback</w:t>
            </w:r>
          </w:p>
        </w:tc>
        <w:tc>
          <w:tcPr>
            <w:tcW w:type="dxa" w:w="4646"/>
          </w:tcPr>
          <w:p>
            <w:pPr>
              <w:spacing w:line="300" w:lineRule="auto" w:after="0"/>
            </w:pPr>
            <w:r/>
            <w:r>
              <w:rPr>
                <w:rFonts w:ascii="Calibri" w:hAnsi="Calibri" w:cs="Calibri" w:eastAsia="Microsoft YaHei"/>
                <w:b w:val="0"/>
                <w:sz w:val="18"/>
              </w:rPr>
              <w:t>When income falls, spending is reduced automatically by rule; advance notice is given before the reserve runs out</w:t>
            </w:r>
          </w:p>
        </w:tc>
      </w:tr>
    </w:tbl>
    <w:p/>
    <w:p>
      <w:r>
        <w:rPr>
          <w:rFonts w:ascii="Calibri" w:hAnsi="Calibri" w:cs="Calibri" w:eastAsia="Microsoft YaHei"/>
          <w:b w:val="0"/>
        </w:rPr>
        <w:t>To be clear: League is a vision. Whether and when we get there depends on the value the community actually creates, and we cannot guarantee it. Practice support goes to members according to their contribution and practice, and has nothing to do with how much ORDL they hold.</w:t>
      </w:r>
    </w:p>
    <w:p>
      <w:pPr>
        <w:pStyle w:val="Heading1"/>
      </w:pPr>
      <w:r>
        <w:t>5. Rewriting distribution with crypto tools</w:t>
      </w:r>
    </w:p>
    <w:p>
      <w:r>
        <w:rPr>
          <w:rFonts w:ascii="Calibri" w:hAnsi="Calibri" w:cs="Calibri" w:eastAsia="Microsoft YaHei"/>
          <w:b w:val="0"/>
        </w:rPr>
        <w:t>We want to use crypto as a tool to make “who did what, where the money comes from and whose hands it ends up in” more transparent, fairer and less laborious. In traditional organisations these relationships rely on bookkeepers, intermediaries and trust; on-chain, many steps can be handed to public code and to data anyone can check.</w:t>
      </w:r>
    </w:p>
    <w:p>
      <w:r>
        <w:rPr>
          <w:rFonts w:ascii="Calibri" w:hAnsi="Calibri" w:cs="Calibri" w:eastAsia="Microsoft YaHei"/>
          <w:b w:val="0"/>
        </w:rPr>
        <w:t xml:space="preserve">Some of the mechanisms below are already running; others are written into the v0.25 design but are </w:t>
      </w:r>
      <w:r>
        <w:rPr>
          <w:rFonts w:ascii="Calibri" w:hAnsi="Calibri" w:cs="Calibri" w:eastAsia="Microsoft YaHei"/>
          <w:b/>
        </w:rPr>
        <w:t>not live yet</w:t>
      </w:r>
      <w:r>
        <w:rPr>
          <w:rFonts w:ascii="Calibri" w:hAnsi="Calibri" w:cs="Calibri" w:eastAsia="Microsoft YaHei"/>
          <w:b w:val="0"/>
        </w:rPr>
        <w:t>. We label each one clearly.</w:t>
      </w:r>
    </w:p>
    <w:p>
      <w:pPr>
        <w:pStyle w:val="Heading3"/>
      </w:pPr>
      <w:r>
        <w:t>5.1 Already running</w:t>
      </w:r>
    </w:p>
    <w:p>
      <w:r>
        <w:rPr>
          <w:rFonts w:ascii="Calibri" w:hAnsi="Calibri" w:cs="Calibri" w:eastAsia="Microsoft YaHei"/>
          <w:b/>
        </w:rPr>
        <w:t>Escrow settlement (paid Q&amp;A).</w:t>
      </w:r>
      <w:r>
        <w:rPr>
          <w:rFonts w:ascii="Calibri" w:hAnsi="Calibri" w:cs="Calibri" w:eastAsia="Microsoft YaHei"/>
          <w:b w:val="0"/>
        </w:rPr>
        <w:t xml:space="preserve"> The person asking pays in an on-chain stablecoin, and the funds are first locked in an escrow contract. When the answer is delivered, the contract releases the payment to the person answering; if there is no answer, the asker can get a refund. The money never passes through anyone’s private account; the rules are written in the contract for anyone to inspect. It is the smallest working example of “paying directly for real work”, and future services such as leading practice, courses and translation can follow the same idea.</w:t>
      </w:r>
    </w:p>
    <w:p>
      <w:r>
        <w:rPr>
          <w:rFonts w:ascii="Calibri" w:hAnsi="Calibri" w:cs="Calibri" w:eastAsia="Microsoft YaHei"/>
          <w:b/>
        </w:rPr>
        <w:t>Wallet-signature linking.</w:t>
      </w:r>
      <w:r>
        <w:rPr>
          <w:rFonts w:ascii="Calibri" w:hAnsi="Calibri" w:cs="Calibri" w:eastAsia="Microsoft YaHei"/>
          <w:b w:val="0"/>
        </w:rPr>
        <w:t xml:space="preserve"> A holder signs a short text with their own Bitcoin wallet to prove the address is theirs: no transfer, no fee, and no private key handed over. This is how holder perks are recognised.</w:t>
      </w:r>
    </w:p>
    <w:p>
      <w:r>
        <w:rPr>
          <w:rFonts w:ascii="Calibri" w:hAnsi="Calibri" w:cs="Calibri" w:eastAsia="Microsoft YaHei"/>
          <w:b/>
        </w:rPr>
        <w:t>Public ORDL donation address.</w:t>
      </w:r>
      <w:r>
        <w:rPr>
          <w:rFonts w:ascii="Calibri" w:hAnsi="Calibri" w:cs="Calibri" w:eastAsia="Microsoft YaHei"/>
          <w:b w:val="0"/>
        </w:rPr>
        <w:t xml:space="preserve"> ORDL received as voluntary support goes to a public, dedicated address that only holds and never sells. Its balance is published every month, and anyone can check it on-chain.</w:t>
      </w:r>
    </w:p>
    <w:p>
      <w:pPr>
        <w:pStyle w:val="Heading3"/>
      </w:pPr>
      <w:r>
        <w:t>5.2 Designed but not live (v0.25)</w:t>
      </w:r>
    </w:p>
    <w:p>
      <w:r>
        <w:rPr>
          <w:rFonts w:ascii="Calibri" w:hAnsi="Calibri" w:cs="Calibri" w:eastAsia="Microsoft YaHei"/>
          <w:b w:val="0"/>
        </w:rPr>
        <w:t xml:space="preserve">The mechanisms below are written into the Economic Model Specification v0.25 and a contract prototype and have been tested locally, </w:t>
      </w:r>
      <w:r>
        <w:rPr>
          <w:rFonts w:ascii="Calibri" w:hAnsi="Calibri" w:cs="Calibri" w:eastAsia="Microsoft YaHei"/>
          <w:b/>
        </w:rPr>
        <w:t>but they have not been deployed and not a single distribution has ever been made</w:t>
      </w:r>
      <w:r>
        <w:rPr>
          <w:rFonts w:ascii="Calibri" w:hAnsi="Calibri" w:cs="Calibri" w:eastAsia="Microsoft YaHei"/>
          <w:b w:val="0"/>
        </w:rPr>
        <w:t>. Holder distribution is currently switched off. Whether it is ever switched on will be decided only after the multisig signers are settled and legal opinions have been issued, and it would only ever use real, realised profit. By design, claims would settle in USDC on the Base network; official contract addresses and claim pages would be announced only through official channels.</w:t>
      </w:r>
    </w:p>
    <w:p>
      <w:pPr>
        <w:ind w:left="425" w:hanging="283"/>
      </w:pPr>
      <w:r>
        <w:rPr>
          <w:rFonts w:ascii="Calibri" w:hAnsi="Calibri" w:cs="Calibri" w:eastAsia="Microsoft YaHei"/>
          <w:b w:val="0"/>
        </w:rPr>
        <w:t xml:space="preserve">1. </w:t>
      </w:r>
      <w:r>
        <w:rPr>
          <w:rFonts w:ascii="Calibri" w:hAnsi="Calibri" w:cs="Calibri" w:eastAsia="Microsoft YaHei"/>
          <w:b/>
        </w:rPr>
        <w:t>Four separate accounts, visible on-chain.</w:t>
      </w:r>
      <w:r>
        <w:rPr>
          <w:rFonts w:ascii="Calibri" w:hAnsi="Calibri" w:cs="Calibri" w:eastAsia="Microsoft YaHei"/>
          <w:b w:val="0"/>
        </w:rPr>
        <w:t xml:space="preserve"> A principal account (never distributed), an operating account, a distribution reserve and a distribution contract are managed separately. The reserve and the distribution contract are controlled by a multisig, with public balances.</w:t>
      </w:r>
    </w:p>
    <w:p>
      <w:pPr>
        <w:ind w:left="425" w:hanging="283"/>
      </w:pPr>
      <w:r>
        <w:rPr>
          <w:rFonts w:ascii="Calibri" w:hAnsi="Calibri" w:cs="Calibri" w:eastAsia="Microsoft YaHei"/>
          <w:b w:val="0"/>
        </w:rPr>
        <w:t xml:space="preserve">2. </w:t>
      </w:r>
      <w:r>
        <w:rPr>
          <w:rFonts w:ascii="Calibri" w:hAnsi="Calibri" w:cs="Calibri" w:eastAsia="Microsoft YaHei"/>
          <w:b/>
        </w:rPr>
        <w:t>Profit only, reserves first.</w:t>
      </w:r>
      <w:r>
        <w:rPr>
          <w:rFonts w:ascii="Calibri" w:hAnsi="Calibri" w:cs="Calibri" w:eastAsia="Microsoft YaHei"/>
          <w:b w:val="0"/>
        </w:rPr>
        <w:t xml:space="preserve"> Principal and recovered costs are never distributed; losses are first made up from later profits; profit first tops the operating account up to 6 months of expenses, and only what is left goes into the reserve, in proportion. The monthly base amount is the smaller of two figures: the share ρ × the average profit of the past 36 months, or 4% a year × the average net assets of the past 36 months (at cost). At most 1/12 of the reserve can be used per month, so in months without new profit payouts taper gently instead of stopping suddenly.</w:t>
      </w:r>
    </w:p>
    <w:p>
      <w:pPr>
        <w:ind w:left="425" w:hanging="283"/>
      </w:pPr>
      <w:r>
        <w:rPr>
          <w:rFonts w:ascii="Calibri" w:hAnsi="Calibri" w:cs="Calibri" w:eastAsia="Microsoft YaHei"/>
          <w:b w:val="0"/>
        </w:rPr>
        <w:t xml:space="preserve">3. </w:t>
      </w:r>
      <w:r>
        <w:rPr>
          <w:rFonts w:ascii="Calibri" w:hAnsi="Calibri" w:cs="Calibri" w:eastAsia="Microsoft YaHei"/>
          <w:b/>
        </w:rPr>
        <w:t>A share capped by the golden ratio.</w:t>
      </w:r>
      <w:r>
        <w:rPr>
          <w:rFonts w:ascii="Calibri" w:hAnsi="Calibri" w:cs="Calibri" w:eastAsia="Microsoft YaHei"/>
          <w:b w:val="0"/>
        </w:rPr>
        <w:t xml:space="preserve"> The share ρ that goes into the reserve starts at 38.2%. Only while the treasury is healthy can it rise, by at most 2.36 percentage points per quarter, up to 61.8%; any unrecovered loss sends it straight back to 38.2%. It rises slowly and falls fast.</w:t>
      </w:r>
    </w:p>
    <w:p>
      <w:pPr>
        <w:ind w:left="425" w:hanging="283"/>
      </w:pPr>
      <w:r>
        <w:rPr>
          <w:rFonts w:ascii="Calibri" w:hAnsi="Calibri" w:cs="Calibri" w:eastAsia="Microsoft YaHei"/>
          <w:b w:val="0"/>
        </w:rPr>
        <w:t xml:space="preserve">4. </w:t>
      </w:r>
      <w:r>
        <w:rPr>
          <w:rFonts w:ascii="Calibri" w:hAnsi="Calibri" w:cs="Calibri" w:eastAsia="Microsoft YaHei"/>
          <w:b/>
        </w:rPr>
        <w:t>A random monthly pool nobody can predict.</w:t>
      </w:r>
      <w:r>
        <w:rPr>
          <w:rFonts w:ascii="Calibri" w:hAnsi="Calibri" w:cs="Calibri" w:eastAsia="Microsoft YaHei"/>
          <w:b w:val="0"/>
        </w:rPr>
        <w:t xml:space="preserve"> The amount actually paid each month = the base amount × a factor m between 0.5 and 1.0, set by the hash of the 6th Bitcoin block after the snapshot. At the moment of the snapshot that block does not exist yet, so nobody, including us, can know m in advance. Whatever is not paid out stays in the reserve.</w:t>
      </w:r>
    </w:p>
    <w:p>
      <w:pPr>
        <w:ind w:left="425" w:hanging="283"/>
      </w:pPr>
      <w:r>
        <w:rPr>
          <w:rFonts w:ascii="Calibri" w:hAnsi="Calibri" w:cs="Calibri" w:eastAsia="Microsoft YaHei"/>
          <w:b w:val="0"/>
        </w:rPr>
        <w:t xml:space="preserve">5. </w:t>
      </w:r>
      <w:r>
        <w:rPr>
          <w:rFonts w:ascii="Calibri" w:hAnsi="Calibri" w:cs="Calibri" w:eastAsia="Microsoft YaHei"/>
          <w:b/>
        </w:rPr>
        <w:t>Weights that make splitting addresses a losing move.</w:t>
      </w:r>
      <w:r>
        <w:rPr>
          <w:rFonts w:ascii="Calibri" w:hAnsi="Calibri" w:cs="Calibri" w:eastAsia="Microsoft YaHei"/>
          <w:b w:val="0"/>
        </w:rPr>
        <w:t xml:space="preserve"> Share weight w = b × (b / T)^ε × a ramp factor, where T = 10,000 and ε = 0.02; below 5,000 tokens the weight is 0, rising linearly from 5,000 to 10,000. Splitting the same amount across several addresses always lowers the total, so creating extra accounts gains nothing. Parameter changes require at least 30 days’ notice.</w:t>
      </w:r>
    </w:p>
    <w:p>
      <w:pPr>
        <w:ind w:left="425" w:hanging="283"/>
      </w:pPr>
      <w:r>
        <w:rPr>
          <w:rFonts w:ascii="Calibri" w:hAnsi="Calibri" w:cs="Calibri" w:eastAsia="Microsoft YaHei"/>
          <w:b w:val="0"/>
        </w:rPr>
        <w:t xml:space="preserve">6. </w:t>
      </w:r>
      <w:r>
        <w:rPr>
          <w:rFonts w:ascii="Calibri" w:hAnsi="Calibri" w:cs="Calibri" w:eastAsia="Microsoft YaHei"/>
          <w:b/>
        </w:rPr>
        <w:t>Claim proofs bound to the person and the chain.</w:t>
      </w:r>
      <w:r>
        <w:rPr>
          <w:rFonts w:ascii="Calibri" w:hAnsi="Calibri" w:cs="Calibri" w:eastAsia="Microsoft YaHei"/>
          <w:b w:val="0"/>
        </w:rPr>
        <w:t xml:space="preserve"> Each period’s list is built into a Merkle tree, and every entry includes the claimant’s receiving address, the chain ID and the contract address. Even if someone else submits a claim on your behalf, the money can only go to the address written in; the same proof is invalid on another chain or another contract.</w:t>
      </w:r>
    </w:p>
    <w:p>
      <w:pPr>
        <w:ind w:left="425" w:hanging="283"/>
      </w:pPr>
      <w:r>
        <w:rPr>
          <w:rFonts w:ascii="Calibri" w:hAnsi="Calibri" w:cs="Calibri" w:eastAsia="Microsoft YaHei"/>
          <w:b w:val="0"/>
        </w:rPr>
        <w:t xml:space="preserve">7. </w:t>
      </w:r>
      <w:r>
        <w:rPr>
          <w:rFonts w:ascii="Calibri" w:hAnsi="Calibri" w:cs="Calibri" w:eastAsia="Microsoft YaHei"/>
          <w:b/>
        </w:rPr>
        <w:t>Double-checked snapshots.</w:t>
      </w:r>
      <w:r>
        <w:rPr>
          <w:rFonts w:ascii="Calibri" w:hAnsi="Calibri" w:cs="Calibri" w:eastAsia="Microsoft YaHei"/>
          <w:b w:val="0"/>
        </w:rPr>
        <w:t xml:space="preserve"> At least two independent BRC-20 indexers reconcile every address. After publication there is a 72-hour challenge period in which anyone can request a correction with evidence.</w:t>
      </w:r>
    </w:p>
    <w:p>
      <w:pPr>
        <w:ind w:left="425" w:hanging="283"/>
      </w:pPr>
      <w:r>
        <w:rPr>
          <w:rFonts w:ascii="Calibri" w:hAnsi="Calibri" w:cs="Calibri" w:eastAsia="Microsoft YaHei"/>
          <w:b w:val="0"/>
        </w:rPr>
        <w:t xml:space="preserve">8. </w:t>
      </w:r>
      <w:r>
        <w:rPr>
          <w:rFonts w:ascii="Calibri" w:hAnsi="Calibri" w:cs="Calibri" w:eastAsia="Microsoft YaHei"/>
          <w:b/>
        </w:rPr>
        <w:t>Monthly public accounts.</w:t>
      </w:r>
      <w:r>
        <w:rPr>
          <w:rFonts w:ascii="Calibri" w:hAnsi="Calibri" w:cs="Calibri" w:eastAsia="Microsoft YaHei"/>
          <w:b w:val="0"/>
        </w:rPr>
        <w:t xml:space="preserve"> Account balances, losses still to be made up, the month’s profit, the 36-month averages, ρ and the reason for any change, the base amount, m and the monthly pool are all published, so anyone can recalculate them.</w:t>
      </w:r>
    </w:p>
    <w:p>
      <w:pPr>
        <w:pStyle w:val="Heading3"/>
      </w:pPr>
      <w:r>
        <w:t>5.3 Looking ahead: rewards for contribution</w:t>
      </w:r>
    </w:p>
    <w:p>
      <w:r>
        <w:rPr>
          <w:rFonts w:ascii="Calibri" w:hAnsi="Calibri" w:cs="Calibri" w:eastAsia="Microsoft YaHei"/>
          <w:b w:val="0"/>
        </w:rPr>
        <w:t xml:space="preserve">The v0.25 distribution design looks only at ORDL holdings. On the way to Guild and League, we want to shift more weight to </w:t>
      </w:r>
      <w:r>
        <w:rPr>
          <w:rFonts w:ascii="Calibri" w:hAnsi="Calibri" w:cs="Calibri" w:eastAsia="Microsoft YaHei"/>
          <w:b/>
        </w:rPr>
        <w:t>real contribution</w:t>
      </w:r>
      <w:r>
        <w:rPr>
          <w:rFonts w:ascii="Calibri" w:hAnsi="Calibri" w:cs="Calibri" w:eastAsia="Microsoft YaHei"/>
          <w:b w:val="0"/>
        </w:rPr>
        <w:t>: teaching and leading practice, practice records, content and translation, testing and feedback, and co-development.</w:t>
      </w:r>
    </w:p>
    <w:p>
      <w:r>
        <w:rPr>
          <w:rFonts w:ascii="Calibri" w:hAnsi="Calibri" w:cs="Calibri" w:eastAsia="Microsoft YaHei"/>
          <w:b w:val="0"/>
        </w:rPr>
        <w:t>Design direction (not final; details TBD):</w:t>
      </w:r>
    </w:p>
    <w:p>
      <w:pPr>
        <w:pStyle w:val="ListBullet"/>
      </w:pPr>
      <w:r>
        <w:rPr>
          <w:rFonts w:ascii="Calibri" w:hAnsi="Calibri" w:cs="Calibri" w:eastAsia="Microsoft YaHei"/>
          <w:b w:val="0"/>
        </w:rPr>
        <w:t>Contributions need public, checkable records, such as records of led practice, submitted translations and test reports, confirmed by the group and its mentors.</w:t>
      </w:r>
    </w:p>
    <w:p>
      <w:pPr>
        <w:pStyle w:val="ListBullet"/>
      </w:pPr>
      <w:r>
        <w:rPr>
          <w:rFonts w:ascii="Calibri" w:hAnsi="Calibri" w:cs="Calibri" w:eastAsia="Microsoft YaHei"/>
          <w:b w:val="0"/>
        </w:rPr>
        <w:t>Rewards reuse the tools already built: service work is paid directly through escrow settlement; periodic contribution rewards are paid from a Merkle list, with amounts bound to receiving addresses.</w:t>
      </w:r>
    </w:p>
    <w:p>
      <w:pPr>
        <w:pStyle w:val="ListBullet"/>
      </w:pPr>
      <w:r>
        <w:rPr>
          <w:rFonts w:ascii="Calibri" w:hAnsi="Calibri" w:cs="Calibri" w:eastAsia="Microsoft YaHei"/>
          <w:b w:val="0"/>
        </w:rPr>
        <w:t xml:space="preserve">The money comes only from real income and ranks after the operating reserve. v0.25 already has a starting point: a </w:t>
      </w:r>
      <w:r>
        <w:rPr>
          <w:rFonts w:ascii="Calibri" w:hAnsi="Calibri" w:cs="Calibri" w:eastAsia="Microsoft YaHei"/>
          <w:b/>
        </w:rPr>
        <w:t>contribution-reward budget</w:t>
      </w:r>
      <w:r>
        <w:rPr>
          <w:rFonts w:ascii="Calibri" w:hAnsi="Calibri" w:cs="Calibri" w:eastAsia="Microsoft YaHei"/>
          <w:b w:val="0"/>
        </w:rPr>
        <w:t xml:space="preserve"> kept in the operating account, capped each year at 10% of that year’s operating income, used only to reward real contribution, with the yearly total published.</w:t>
      </w:r>
    </w:p>
    <w:p>
      <w:pPr>
        <w:pStyle w:val="ListBullet"/>
      </w:pPr>
      <w:r>
        <w:rPr>
          <w:rFonts w:ascii="Calibri" w:hAnsi="Calibri" w:cs="Calibri" w:eastAsia="Microsoft YaHei"/>
          <w:b w:val="0"/>
        </w:rPr>
        <w:t>Practice support likewise ranks after the reserves and is paid under public rules, with amounts and list rules published every month.</w:t>
      </w:r>
    </w:p>
    <w:p>
      <w:pPr>
        <w:pStyle w:val="Heading3"/>
      </w:pPr>
      <w:r>
        <w:t>5.4 ORDL rewards for long-term practitioners</w:t>
      </w:r>
    </w:p>
    <w:p>
      <w:r>
        <w:rPr>
          <w:rFonts w:ascii="Calibri" w:hAnsi="Calibri" w:cs="Calibri" w:eastAsia="Microsoft YaHei"/>
          <w:b w:val="0"/>
        </w:rPr>
        <w:t>We want ORDL to end up with the people who actually practise here. People who practise over the long term will receive ORDL. Learning on the platform is one way of practising, and so are daily practice, practice records, leading practice and practising together. That way ORDL is something you “earn” through practice. There is no need to buy it on a market.</w:t>
      </w:r>
    </w:p>
    <w:p>
      <w:r>
        <w:rPr>
          <w:rFonts w:ascii="Calibri" w:hAnsi="Calibri" w:cs="Calibri" w:eastAsia="Microsoft YaHei"/>
          <w:b w:val="0"/>
        </w:rPr>
        <w:t>A few points need explaining:</w:t>
      </w:r>
    </w:p>
    <w:p>
      <w:pPr>
        <w:pStyle w:val="ListBullet"/>
      </w:pPr>
      <w:r>
        <w:rPr>
          <w:rFonts w:ascii="Calibri" w:hAnsi="Calibri" w:cs="Calibri" w:eastAsia="Microsoft YaHei"/>
          <w:b/>
        </w:rPr>
        <w:t>Where the reward ORDL comes from</w:t>
      </w:r>
      <w:r>
        <w:rPr>
          <w:rFonts w:ascii="Calibri" w:hAnsi="Calibri" w:cs="Calibri" w:eastAsia="Microsoft YaHei"/>
          <w:b w:val="0"/>
        </w:rPr>
        <w:t>: from a community allocation (TBD). All ORDL has already been minted; ORDL Lab will not issue or mint any new tokens for this. If we plan to use ORDL received as voluntary support, we will give at least 30 days’ notice under the existing rules.</w:t>
      </w:r>
    </w:p>
    <w:p>
      <w:pPr>
        <w:pStyle w:val="ListBullet"/>
      </w:pPr>
      <w:r>
        <w:rPr>
          <w:rFonts w:ascii="Calibri" w:hAnsi="Calibri" w:cs="Calibri" w:eastAsia="Microsoft YaHei"/>
          <w:b/>
        </w:rPr>
        <w:t>What counts as “long-term practice”</w:t>
      </w:r>
      <w:r>
        <w:rPr>
          <w:rFonts w:ascii="Calibri" w:hAnsi="Calibri" w:cs="Calibri" w:eastAsia="Microsoft YaHei"/>
          <w:b w:val="0"/>
        </w:rPr>
        <w:t>: standards for practice records, practice time, course study, leading practice and practising together are TBD.</w:t>
      </w:r>
    </w:p>
    <w:p>
      <w:pPr>
        <w:pStyle w:val="ListBullet"/>
      </w:pPr>
      <w:r>
        <w:rPr>
          <w:rFonts w:ascii="Calibri" w:hAnsi="Calibri" w:cs="Calibri" w:eastAsia="Microsoft YaHei"/>
          <w:b/>
        </w:rPr>
        <w:t>Anti-abuse rules</w:t>
      </w:r>
      <w:r>
        <w:rPr>
          <w:rFonts w:ascii="Calibri" w:hAnsi="Calibri" w:cs="Calibri" w:eastAsia="Microsoft YaHei"/>
          <w:b w:val="0"/>
        </w:rPr>
        <w:t>: multiple accounts per person, idling to inflate practice time, bulk sign-ups and the like do not count. Specific rules are TBD; in principle they follow the same idea as “splitting addresses is a losing move”.</w:t>
      </w:r>
    </w:p>
    <w:p>
      <w:pPr>
        <w:pStyle w:val="ListBullet"/>
      </w:pPr>
      <w:r>
        <w:rPr>
          <w:rFonts w:ascii="Calibri" w:hAnsi="Calibri" w:cs="Calibri" w:eastAsia="Microsoft YaHei"/>
          <w:b/>
        </w:rPr>
        <w:t>How much each person receives, and how often</w:t>
      </w:r>
      <w:r>
        <w:rPr>
          <w:rFonts w:ascii="Calibri" w:hAnsi="Calibri" w:cs="Calibri" w:eastAsia="Microsoft YaHei"/>
          <w:b w:val="0"/>
        </w:rPr>
        <w:t>: TBD.</w:t>
      </w:r>
    </w:p>
    <w:p>
      <w:pPr>
        <w:pStyle w:val="ListBullet"/>
      </w:pPr>
      <w:r>
        <w:rPr>
          <w:rFonts w:ascii="Calibri" w:hAnsi="Calibri" w:cs="Calibri" w:eastAsia="Microsoft YaHei"/>
          <w:b/>
        </w:rPr>
        <w:t>Rewards also bring membership perks</w:t>
      </w:r>
      <w:r>
        <w:rPr>
          <w:rFonts w:ascii="Calibri" w:hAnsi="Calibri" w:cs="Calibri" w:eastAsia="Microsoft YaHei"/>
          <w:b w:val="0"/>
        </w:rPr>
        <w:t>: once ORDL earned through practice reaches a tier, it can likewise be linked to an account and enjoy holder perks (including the capped course discount).</w:t>
      </w:r>
    </w:p>
    <w:p>
      <w:pPr>
        <w:pStyle w:val="ListBullet"/>
      </w:pPr>
      <w:r>
        <w:rPr>
          <w:rFonts w:ascii="Calibri" w:hAnsi="Calibri" w:cs="Calibri" w:eastAsia="Microsoft YaHei"/>
          <w:b/>
        </w:rPr>
        <w:t>A reward does not imply value</w:t>
      </w:r>
      <w:r>
        <w:rPr>
          <w:rFonts w:ascii="Calibri" w:hAnsi="Calibri" w:cs="Calibri" w:eastAsia="Microsoft YaHei"/>
          <w:b w:val="0"/>
        </w:rPr>
        <w:t>: the ORDL you receive may have no market value, and we make no promise about what it is worth.</w:t>
      </w:r>
    </w:p>
    <w:p>
      <w:r>
        <w:rPr>
          <w:rFonts w:ascii="Calibri" w:hAnsi="Calibri" w:cs="Calibri" w:eastAsia="Microsoft YaHei"/>
          <w:b w:val="0"/>
        </w:rPr>
        <w:t>All of this is still at the design stage, and we do not treat it as a promise. Before anything is switched on, we will ask for public comment and obtain legal opinions first.</w:t>
      </w:r>
    </w:p>
    <w:p>
      <w:pPr>
        <w:pStyle w:val="Heading1"/>
      </w:pPr>
      <w:r>
        <w:t>6. The role of the ORDL token</w:t>
      </w:r>
    </w:p>
    <w:p>
      <w:pPr>
        <w:ind w:left="340"/>
        <w:pBdr>
          <w:left w:val="single" w:sz="18" w:space="8" w:color="5B3A8C"/>
        </w:pBdr>
        <w:shd w:val="clear" w:color="auto" w:fill="F3EFF8"/>
      </w:pPr>
      <w:r>
        <w:rPr>
          <w:rFonts w:ascii="Calibri" w:hAnsi="Calibri" w:cs="Calibri" w:eastAsia="Microsoft YaHei"/>
          <w:b/>
          <w:color w:val="5B3A8C"/>
          <w:sz w:val="23"/>
        </w:rPr>
        <w:t>We do not encourage anyone to buy the ORDL token.</w:t>
      </w:r>
      <w:r>
        <w:rPr>
          <w:rFonts w:ascii="Calibri" w:hAnsi="Calibri" w:cs="Calibri" w:eastAsia="Microsoft YaHei"/>
          <w:b w:val="0"/>
          <w:color w:val="5B3A8C"/>
          <w:sz w:val="23"/>
        </w:rPr>
        <w:t xml:space="preserve"> ORDL is the community’s identity credential: it shows that you are a member here and have learned and practised here. It is not an investment product, and we advise against buying it for any perk or return. People who practise over the long term will receive ORDL rewards (see 5.4); ORDL earned through practice can likewise be linked to an account and enjoy holder perks, with no need to spend money on it.</w:t>
      </w:r>
    </w:p>
    <w:p>
      <w:r>
        <w:rPr>
          <w:rFonts w:ascii="Calibri" w:hAnsi="Calibri" w:cs="Calibri" w:eastAsia="Microsoft YaHei"/>
          <w:b/>
        </w:rPr>
        <w:t>What ORDL is</w:t>
      </w:r>
      <w:r>
        <w:rPr>
          <w:rFonts w:ascii="Calibri" w:hAnsi="Calibri" w:cs="Calibri" w:eastAsia="Microsoft YaHei"/>
          <w:b w:val="0"/>
        </w:rPr>
        <w:t>: an existing BRC-20 token on Bitcoin, ticker ORDL, with a total supply of 210 million. It has nothing to do with ORDI. We are not issuing a new coin, and we are not redeploying ORDL on any other chain.</w:t>
      </w:r>
    </w:p>
    <w:p>
      <w:r>
        <w:rPr>
          <w:rFonts w:ascii="Calibri" w:hAnsi="Calibri" w:cs="Calibri" w:eastAsia="Microsoft YaHei"/>
          <w:b/>
        </w:rPr>
        <w:t>What holding ORDL lets you do today</w:t>
      </w:r>
      <w:r>
        <w:rPr>
          <w:rFonts w:ascii="Calibri" w:hAnsi="Calibri" w:cs="Calibri" w:eastAsia="Microsoft YaHei"/>
          <w:b w:val="0"/>
        </w:rPr>
        <w:t>:</w:t>
      </w:r>
    </w:p>
    <w:p>
      <w:pPr>
        <w:pStyle w:val="ListBullet"/>
      </w:pPr>
      <w:r>
        <w:rPr>
          <w:rFonts w:ascii="Calibri" w:hAnsi="Calibri" w:cs="Calibri" w:eastAsia="Microsoft YaHei"/>
          <w:b w:val="0"/>
        </w:rPr>
        <w:t>Link your account with a wallet signature and become a Fellow, Supporter or Patron (tier set by your lowest balance over the past 30 days, starting at 10,000, 100,000 and 1,000,000 tokens respectively) to receive membership perks: mainly service conveniences, plus a course discount (once courses are live: 10% / 20% / 30% off, with a maximum saving of 100 USDC per account per year).</w:t>
      </w:r>
    </w:p>
    <w:p>
      <w:pPr>
        <w:pStyle w:val="ListBullet"/>
      </w:pPr>
      <w:r>
        <w:rPr>
          <w:rFonts w:ascii="Calibri" w:hAnsi="Calibri" w:cs="Calibri" w:eastAsia="Microsoft YaHei"/>
          <w:b w:val="0"/>
        </w:rPr>
        <w:t>The course discount is a convenience that comes with community identity. It is capped and is not an investment return. Long-term practitioners whose reward ORDL reaches a tier get the same perk.</w:t>
      </w:r>
    </w:p>
    <w:p>
      <w:pPr>
        <w:pStyle w:val="ListBullet"/>
      </w:pPr>
      <w:r>
        <w:rPr>
          <w:rFonts w:ascii="Calibri" w:hAnsi="Calibri" w:cs="Calibri" w:eastAsia="Microsoft YaHei"/>
          <w:b w:val="0"/>
        </w:rPr>
        <w:t>Take part as a co-creator in testing practice tools and publications and giving feedback.</w:t>
      </w:r>
    </w:p>
    <w:p>
      <w:pPr>
        <w:pStyle w:val="ListBullet"/>
      </w:pPr>
      <w:r>
        <w:rPr>
          <w:rFonts w:ascii="Calibri" w:hAnsi="Calibri" w:cs="Calibri" w:eastAsia="Microsoft YaHei"/>
          <w:b w:val="0"/>
        </w:rPr>
        <w:t>Join community discussions and, in future, governance consultations (format TBD).</w:t>
      </w:r>
    </w:p>
    <w:p>
      <w:r>
        <w:rPr>
          <w:rFonts w:ascii="Calibri" w:hAnsi="Calibri" w:cs="Calibri" w:eastAsia="Microsoft YaHei"/>
          <w:b/>
        </w:rPr>
        <w:t>What holding ORDL does not mean</w:t>
      </w:r>
      <w:r>
        <w:rPr>
          <w:rFonts w:ascii="Calibri" w:hAnsi="Calibri" w:cs="Calibri" w:eastAsia="Microsoft YaHei"/>
          <w:b w:val="0"/>
        </w:rPr>
        <w:t>:</w:t>
      </w:r>
    </w:p>
    <w:p>
      <w:pPr>
        <w:pStyle w:val="ListBullet"/>
      </w:pPr>
      <w:r>
        <w:rPr>
          <w:rFonts w:ascii="Calibri" w:hAnsi="Calibri" w:cs="Calibri" w:eastAsia="Microsoft YaHei"/>
          <w:b w:val="0"/>
        </w:rPr>
        <w:t>It does not mean dividends. Dividends and claiming are currently switched off.</w:t>
      </w:r>
    </w:p>
    <w:p>
      <w:pPr>
        <w:pStyle w:val="ListBullet"/>
      </w:pPr>
      <w:r>
        <w:rPr>
          <w:rFonts w:ascii="Calibri" w:hAnsi="Calibri" w:cs="Calibri" w:eastAsia="Microsoft YaHei"/>
          <w:b w:val="0"/>
        </w:rPr>
        <w:t>It does not mean unlimited discounts. The course discount is capped at 100 USDC a year; all other services cost the same for everyone.</w:t>
      </w:r>
    </w:p>
    <w:p>
      <w:pPr>
        <w:pStyle w:val="ListBullet"/>
      </w:pPr>
      <w:r>
        <w:rPr>
          <w:rFonts w:ascii="Calibri" w:hAnsi="Calibri" w:cs="Calibri" w:eastAsia="Microsoft YaHei"/>
          <w:b w:val="0"/>
        </w:rPr>
        <w:t>It does not mean returns or appreciation. We do no “market-cap management” and make no promise about price.</w:t>
      </w:r>
    </w:p>
    <w:p>
      <w:pPr>
        <w:pStyle w:val="ListBullet"/>
      </w:pPr>
      <w:r>
        <w:rPr>
          <w:rFonts w:ascii="Calibri" w:hAnsi="Calibri" w:cs="Calibri" w:eastAsia="Microsoft YaHei"/>
          <w:b w:val="0"/>
        </w:rPr>
        <w:t>It does not mean practice support. In the League stage, practice support is given according to contribution and practice, not holdings.</w:t>
      </w:r>
    </w:p>
    <w:p>
      <w:r>
        <w:rPr>
          <w:rFonts w:ascii="Calibri" w:hAnsi="Calibri" w:cs="Calibri" w:eastAsia="Microsoft YaHei"/>
          <w:b/>
        </w:rPr>
        <w:t>How to get ORDL</w:t>
      </w:r>
      <w:r>
        <w:rPr>
          <w:rFonts w:ascii="Calibri" w:hAnsi="Calibri" w:cs="Calibri" w:eastAsia="Microsoft YaHei"/>
          <w:b w:val="0"/>
        </w:rPr>
        <w:t>: we hope people receive ORDL rewards through long-term practice, with no need to spend money on it. The source of rewards, the standards, the anti-abuse rules and the amounts are all TBD (see 5.4).</w:t>
      </w:r>
    </w:p>
    <w:p>
      <w:r>
        <w:rPr>
          <w:rFonts w:ascii="Calibri" w:hAnsi="Calibri" w:cs="Calibri" w:eastAsia="Microsoft YaHei"/>
          <w:b/>
        </w:rPr>
        <w:t>Issuance</w:t>
      </w:r>
      <w:r>
        <w:rPr>
          <w:rFonts w:ascii="Calibri" w:hAnsi="Calibri" w:cs="Calibri" w:eastAsia="Microsoft YaHei"/>
          <w:b w:val="0"/>
        </w:rPr>
        <w:t>: ORDL’s deployment and minting history, including whether it was a fair mint, is to be confirmed and will be explained publicly and separately once confirmed.</w:t>
      </w:r>
    </w:p>
    <w:p>
      <w:pPr>
        <w:pStyle w:val="Heading1"/>
      </w:pPr>
      <w:r>
        <w:t>7. Income and money rules (v0.25)</w:t>
      </w:r>
    </w:p>
    <w:p>
      <w:pPr>
        <w:pStyle w:val="Heading3"/>
      </w:pPr>
      <w:r>
        <w:t>Where income comes from</w:t>
      </w:r>
    </w:p>
    <w:p>
      <w:r>
        <w:rPr>
          <w:rFonts w:ascii="Calibri" w:hAnsi="Calibri" w:cs="Calibri" w:eastAsia="Microsoft YaHei"/>
          <w:b w:val="0"/>
        </w:rPr>
        <w:t>Only real income counts:</w:t>
      </w:r>
    </w:p>
    <w:p>
      <w:pPr>
        <w:pStyle w:val="ListBullet"/>
      </w:pPr>
      <w:r>
        <w:rPr>
          <w:rFonts w:ascii="Calibri" w:hAnsi="Calibri" w:cs="Calibri" w:eastAsia="Microsoft YaHei"/>
          <w:b w:val="0"/>
        </w:rPr>
        <w:t>Consultations and paid Q&amp;A (on-chain escrow settlement)</w:t>
      </w:r>
    </w:p>
    <w:p>
      <w:pPr>
        <w:pStyle w:val="ListBullet"/>
      </w:pPr>
      <w:r>
        <w:rPr>
          <w:rFonts w:ascii="Calibri" w:hAnsi="Calibri" w:cs="Calibri" w:eastAsia="Microsoft YaHei"/>
          <w:b w:val="0"/>
        </w:rPr>
        <w:t>Courses and learning content</w:t>
      </w:r>
    </w:p>
    <w:p>
      <w:pPr>
        <w:pStyle w:val="ListBullet"/>
      </w:pPr>
      <w:r>
        <w:rPr>
          <w:rFonts w:ascii="Calibri" w:hAnsi="Calibri" w:cs="Calibri" w:eastAsia="Microsoft YaHei"/>
          <w:b w:val="0"/>
        </w:rPr>
        <w:t>Practice tools and publications</w:t>
      </w:r>
    </w:p>
    <w:p>
      <w:pPr>
        <w:pStyle w:val="ListBullet"/>
      </w:pPr>
      <w:r>
        <w:rPr>
          <w:rFonts w:ascii="Calibri" w:hAnsi="Calibri" w:cs="Calibri" w:eastAsia="Microsoft YaHei"/>
          <w:b w:val="0"/>
        </w:rPr>
        <w:t>Voluntary support</w:t>
      </w:r>
    </w:p>
    <w:p>
      <w:pPr>
        <w:pStyle w:val="ListBullet"/>
      </w:pPr>
      <w:r>
        <w:rPr>
          <w:rFonts w:ascii="Calibri" w:hAnsi="Calibri" w:cs="Calibri" w:eastAsia="Microsoft YaHei"/>
          <w:b w:val="0"/>
        </w:rPr>
        <w:t>Merchandise in future (such as incense, small ornaments and accessories; whether we do this is TBD)</w:t>
      </w:r>
    </w:p>
    <w:p>
      <w:r>
        <w:rPr>
          <w:rFonts w:ascii="Calibri" w:hAnsi="Calibri" w:cs="Calibri" w:eastAsia="Microsoft YaHei"/>
          <w:b w:val="0"/>
        </w:rPr>
        <w:t>Not counted as income: donations of ORDL or other tokens, loans, deposits, internal transfers, and paper gains on anything not sold.</w:t>
      </w:r>
    </w:p>
    <w:p>
      <w:pPr>
        <w:pStyle w:val="Heading3"/>
      </w:pPr>
      <w:r>
        <w:t>How the money is used</w:t>
      </w:r>
    </w:p>
    <w:p>
      <w:r>
        <w:rPr>
          <w:rFonts w:ascii="Calibri" w:hAnsi="Calibri" w:cs="Calibri" w:eastAsia="Microsoft YaHei"/>
          <w:b w:val="0"/>
        </w:rPr>
        <w:t>Following the v0.25 order, one step at a time:</w:t>
      </w:r>
    </w:p>
    <w:p>
      <w:pPr>
        <w:ind w:left="425" w:hanging="283"/>
      </w:pPr>
      <w:r>
        <w:rPr>
          <w:rFonts w:ascii="Calibri" w:hAnsi="Calibri" w:cs="Calibri" w:eastAsia="Microsoft YaHei"/>
          <w:b w:val="0"/>
        </w:rPr>
        <w:t xml:space="preserve">1. </w:t>
      </w:r>
      <w:r>
        <w:rPr>
          <w:rFonts w:ascii="Calibri" w:hAnsi="Calibri" w:cs="Calibri" w:eastAsia="Microsoft YaHei"/>
          <w:b/>
        </w:rPr>
        <w:t>First, make up losses.</w:t>
      </w:r>
      <w:r>
        <w:rPr>
          <w:rFonts w:ascii="Calibri" w:hAnsi="Calibri" w:cs="Calibri" w:eastAsia="Microsoft YaHei"/>
          <w:b w:val="0"/>
        </w:rPr>
        <w:t xml:space="preserve"> Anything advanced or lost before is recovered first.</w:t>
      </w:r>
    </w:p>
    <w:p>
      <w:pPr>
        <w:ind w:left="425" w:hanging="283"/>
      </w:pPr>
      <w:r>
        <w:rPr>
          <w:rFonts w:ascii="Calibri" w:hAnsi="Calibri" w:cs="Calibri" w:eastAsia="Microsoft YaHei"/>
          <w:b w:val="0"/>
        </w:rPr>
        <w:t xml:space="preserve">2. </w:t>
      </w:r>
      <w:r>
        <w:rPr>
          <w:rFonts w:ascii="Calibri" w:hAnsi="Calibri" w:cs="Calibri" w:eastAsia="Microsoft YaHei"/>
          <w:b/>
        </w:rPr>
        <w:t>Then, fund operations.</w:t>
      </w:r>
      <w:r>
        <w:rPr>
          <w:rFonts w:ascii="Calibri" w:hAnsi="Calibri" w:cs="Calibri" w:eastAsia="Microsoft YaHei"/>
          <w:b w:val="0"/>
        </w:rPr>
        <w:t xml:space="preserve"> The operating account is topped up to 6 months of operating expenses. Website income (voluntary support, courses and so on) goes only into the operating account.</w:t>
      </w:r>
    </w:p>
    <w:p>
      <w:pPr>
        <w:ind w:left="425" w:hanging="283"/>
      </w:pPr>
      <w:r>
        <w:rPr>
          <w:rFonts w:ascii="Calibri" w:hAnsi="Calibri" w:cs="Calibri" w:eastAsia="Microsoft YaHei"/>
          <w:b w:val="0"/>
        </w:rPr>
        <w:t xml:space="preserve">3. </w:t>
      </w:r>
      <w:r>
        <w:rPr>
          <w:rFonts w:ascii="Calibri" w:hAnsi="Calibri" w:cs="Calibri" w:eastAsia="Microsoft YaHei"/>
          <w:b/>
        </w:rPr>
        <w:t>Then, build reserves.</w:t>
      </w:r>
      <w:r>
        <w:rPr>
          <w:rFonts w:ascii="Calibri" w:hAnsi="Calibri" w:cs="Calibri" w:eastAsia="Microsoft YaHei"/>
          <w:b w:val="0"/>
        </w:rPr>
        <w:t xml:space="preserve"> Only real, realised profit goes into the reserve, under the rules.</w:t>
      </w:r>
    </w:p>
    <w:p>
      <w:pPr>
        <w:ind w:left="425" w:hanging="283"/>
      </w:pPr>
      <w:r>
        <w:rPr>
          <w:rFonts w:ascii="Calibri" w:hAnsi="Calibri" w:cs="Calibri" w:eastAsia="Microsoft YaHei"/>
          <w:b w:val="0"/>
        </w:rPr>
        <w:t xml:space="preserve">4. </w:t>
      </w:r>
      <w:r>
        <w:rPr>
          <w:rFonts w:ascii="Calibri" w:hAnsi="Calibri" w:cs="Calibri" w:eastAsia="Microsoft YaHei"/>
          <w:b/>
        </w:rPr>
        <w:t>Only then, distribution or support.</w:t>
      </w:r>
      <w:r>
        <w:rPr>
          <w:rFonts w:ascii="Calibri" w:hAnsi="Calibri" w:cs="Calibri" w:eastAsia="Microsoft YaHei"/>
          <w:b w:val="0"/>
        </w:rPr>
        <w:t xml:space="preserve"> Yearly spending stays below a small share of the reserve and leaves the reserve steadily, month by month.</w:t>
      </w:r>
    </w:p>
    <w:p>
      <w:pPr>
        <w:pStyle w:val="Heading3"/>
      </w:pPr>
      <w:r>
        <w:t>What is published</w:t>
      </w:r>
    </w:p>
    <w:p>
      <w:r>
        <w:rPr>
          <w:rFonts w:ascii="Calibri" w:hAnsi="Calibri" w:cs="Calibri" w:eastAsia="Microsoft YaHei"/>
          <w:b w:val="0"/>
        </w:rPr>
        <w:t>Every month: account balances, losses still to be made up, the month’s income and expenses, operating coverage, and reserve balances and their use. Every year: the total paid from the contribution-reward budget and the third-party audit report.</w:t>
      </w:r>
    </w:p>
    <w:p>
      <w:r>
        <w:rPr>
          <w:rFonts w:ascii="Calibri" w:hAnsi="Calibri" w:cs="Calibri" w:eastAsia="Microsoft YaHei"/>
          <w:b w:val="0"/>
        </w:rPr>
        <w:t>The balance of the ORDL donation address is published every month. That ORDL is only held, never sold; if its use is ever to change, we will give at least 30 days’ notice.</w:t>
      </w:r>
    </w:p>
    <w:p>
      <w:pPr>
        <w:pStyle w:val="Heading1"/>
      </w:pPr>
      <w:r>
        <w:t>8. Governance</w:t>
      </w:r>
    </w:p>
    <w:p>
      <w:r>
        <w:rPr>
          <w:rFonts w:ascii="Calibri" w:hAnsi="Calibri" w:cs="Calibri" w:eastAsia="Microsoft YaHei"/>
          <w:b w:val="0"/>
        </w:rPr>
        <w:t>We work in the DAO spirit, but step by step, without handing over anything that is not ready.</w:t>
      </w:r>
    </w:p>
    <w:p>
      <w:pPr>
        <w:spacing w:after="40"/>
      </w:pPr>
      <w:r>
        <w:rPr>
          <w:rFonts w:ascii="Calibri" w:hAnsi="Calibri" w:cs="Calibri" w:eastAsia="Microsoft YaHei"/>
          <w:b/>
        </w:rPr>
        <w:t>Now (Lab)</w:t>
      </w:r>
    </w:p>
    <w:p>
      <w:pPr>
        <w:pStyle w:val="ListBullet"/>
      </w:pPr>
      <w:r>
        <w:rPr>
          <w:rFonts w:ascii="Calibri" w:hAnsi="Calibri" w:cs="Calibri" w:eastAsia="Microsoft YaHei"/>
          <w:b w:val="0"/>
        </w:rPr>
        <w:t>A small team runs day-to-day operations; one person can maintain the systems.</w:t>
      </w:r>
    </w:p>
    <w:p>
      <w:pPr>
        <w:pStyle w:val="ListBullet"/>
      </w:pPr>
      <w:r>
        <w:rPr>
          <w:rFonts w:ascii="Calibri" w:hAnsi="Calibri" w:cs="Calibri" w:eastAsia="Microsoft YaHei"/>
          <w:b w:val="0"/>
        </w:rPr>
        <w:t>Rule changes are announced at least 30 days in advance; comments are collected and answered publicly during the notice period, and changes apply only to snapshots taken after the announcement.</w:t>
      </w:r>
    </w:p>
    <w:p>
      <w:pPr>
        <w:pStyle w:val="ListBullet"/>
      </w:pPr>
      <w:r>
        <w:rPr>
          <w:rFonts w:ascii="Calibri" w:hAnsi="Calibri" w:cs="Calibri" w:eastAsia="Microsoft YaHei"/>
          <w:b w:val="0"/>
        </w:rPr>
        <w:t>Funds related to the reserve and distribution use a 2-of-3 multisig, with at least one signer independent of the founder and keys kept in hardware wallets. The signers are TBD; no real distribution will be switched on before they are chosen.</w:t>
      </w:r>
    </w:p>
    <w:p>
      <w:pPr>
        <w:pStyle w:val="ListBullet"/>
      </w:pPr>
      <w:r>
        <w:rPr>
          <w:rFonts w:ascii="Calibri" w:hAnsi="Calibri" w:cs="Calibri" w:eastAsia="Microsoft YaHei"/>
          <w:b w:val="0"/>
        </w:rPr>
        <w:t>Freezing the monthly ledger, producing the list and opening a claim window each require sign-off by two people.</w:t>
      </w:r>
    </w:p>
    <w:p>
      <w:pPr>
        <w:pStyle w:val="ListBullet"/>
      </w:pPr>
      <w:r>
        <w:rPr>
          <w:rFonts w:ascii="Calibri" w:hAnsi="Calibri" w:cs="Calibri" w:eastAsia="Microsoft YaHei"/>
          <w:b w:val="0"/>
        </w:rPr>
        <w:t>Succession plan: two backup signers and a written operating manual are designated in advance. If the founder is unable to act for 60 consecutive days, the backup signers can continue according to the manual; if no list can be produced for 3 consecutive months, distribution is paused and the funds stay where they are, not used for anything else.</w:t>
      </w:r>
    </w:p>
    <w:p>
      <w:pPr>
        <w:spacing w:after="40"/>
      </w:pPr>
      <w:r>
        <w:rPr>
          <w:rFonts w:ascii="Calibri" w:hAnsi="Calibri" w:cs="Calibri" w:eastAsia="Microsoft YaHei"/>
          <w:b/>
        </w:rPr>
        <w:t>Later (Guild and League)</w:t>
      </w:r>
    </w:p>
    <w:p>
      <w:pPr>
        <w:pStyle w:val="ListBullet"/>
      </w:pPr>
      <w:r>
        <w:rPr>
          <w:rFonts w:ascii="Calibri" w:hAnsi="Calibri" w:cs="Calibri" w:eastAsia="Microsoft YaHei"/>
          <w:b w:val="0"/>
        </w:rPr>
        <w:t>Group self-governance: content, courses, translation, testing and leading practice each have their own leads.</w:t>
      </w:r>
    </w:p>
    <w:p>
      <w:pPr>
        <w:pStyle w:val="ListBullet"/>
      </w:pPr>
      <w:r>
        <w:rPr>
          <w:rFonts w:ascii="Calibri" w:hAnsi="Calibri" w:cs="Calibri" w:eastAsia="Microsoft YaHei"/>
          <w:b w:val="0"/>
        </w:rPr>
        <w:t>Important rules go through public proposals, consultation and public responses; the exact voting method is TBD.</w:t>
      </w:r>
    </w:p>
    <w:p>
      <w:pPr>
        <w:pStyle w:val="ListBullet"/>
      </w:pPr>
      <w:r>
        <w:rPr>
          <w:rFonts w:ascii="Calibri" w:hAnsi="Calibri" w:cs="Calibri" w:eastAsia="Microsoft YaHei"/>
          <w:b w:val="0"/>
        </w:rPr>
        <w:t>A third-party audit once a year, with the report published.</w:t>
      </w:r>
    </w:p>
    <w:p>
      <w:pPr>
        <w:pStyle w:val="Heading1"/>
      </w:pPr>
      <w:r>
        <w:t>9. Risks and disclaimers</w:t>
      </w:r>
    </w:p>
    <w:p>
      <w:r>
        <w:rPr>
          <w:rFonts w:ascii="Calibri" w:hAnsi="Calibri" w:cs="Calibri" w:eastAsia="Microsoft YaHei"/>
          <w:b w:val="0"/>
        </w:rPr>
        <w:t>Please read this chapter in full.</w:t>
      </w:r>
    </w:p>
    <w:p>
      <w:pPr>
        <w:ind w:left="425" w:hanging="283"/>
      </w:pPr>
      <w:r>
        <w:rPr>
          <w:rFonts w:ascii="Calibri" w:hAnsi="Calibri" w:cs="Calibri" w:eastAsia="Microsoft YaHei"/>
          <w:b w:val="0"/>
        </w:rPr>
        <w:t xml:space="preserve">1. </w:t>
      </w:r>
      <w:r>
        <w:rPr>
          <w:rFonts w:ascii="Calibri" w:hAnsi="Calibri" w:cs="Calibri" w:eastAsia="Microsoft YaHei"/>
          <w:b/>
        </w:rPr>
        <w:t>Not investment advice; buying is not encouraged.</w:t>
      </w:r>
      <w:r>
        <w:rPr>
          <w:rFonts w:ascii="Calibri" w:hAnsi="Calibri" w:cs="Calibri" w:eastAsia="Microsoft YaHei"/>
          <w:b w:val="0"/>
        </w:rPr>
        <w:t xml:space="preserve"> This whitepaper is not investment, legal or tax advice. We do not encourage anyone to buy ORDL; it is only a community identity credential. If you still buy or sell ORDL on a market, that is your own decision and the consequences are yours.</w:t>
      </w:r>
    </w:p>
    <w:p>
      <w:pPr>
        <w:ind w:left="425" w:hanging="283"/>
      </w:pPr>
      <w:r>
        <w:rPr>
          <w:rFonts w:ascii="Calibri" w:hAnsi="Calibri" w:cs="Calibri" w:eastAsia="Microsoft YaHei"/>
          <w:b w:val="0"/>
        </w:rPr>
        <w:t xml:space="preserve">2. </w:t>
      </w:r>
      <w:r>
        <w:rPr>
          <w:rFonts w:ascii="Calibri" w:hAnsi="Calibri" w:cs="Calibri" w:eastAsia="Microsoft YaHei"/>
          <w:b/>
        </w:rPr>
        <w:t>The token may lose value.</w:t>
      </w:r>
      <w:r>
        <w:rPr>
          <w:rFonts w:ascii="Calibri" w:hAnsi="Calibri" w:cs="Calibri" w:eastAsia="Microsoft YaHei"/>
          <w:b w:val="0"/>
        </w:rPr>
        <w:t xml:space="preserve"> The price of ORDL may fall sharply, even to zero, and liquidity may be very poor. We do no market-cap management and make no promise about price.</w:t>
      </w:r>
    </w:p>
    <w:p>
      <w:pPr>
        <w:ind w:left="425" w:hanging="283"/>
      </w:pPr>
      <w:r>
        <w:rPr>
          <w:rFonts w:ascii="Calibri" w:hAnsi="Calibri" w:cs="Calibri" w:eastAsia="Microsoft YaHei"/>
          <w:b w:val="0"/>
        </w:rPr>
        <w:t xml:space="preserve">3. </w:t>
      </w:r>
      <w:r>
        <w:rPr>
          <w:rFonts w:ascii="Calibri" w:hAnsi="Calibri" w:cs="Calibri" w:eastAsia="Microsoft YaHei"/>
          <w:b/>
        </w:rPr>
        <w:t>Practice rewards carry no promise of value.</w:t>
      </w:r>
      <w:r>
        <w:rPr>
          <w:rFonts w:ascii="Calibri" w:hAnsi="Calibri" w:cs="Calibri" w:eastAsia="Microsoft YaHei"/>
          <w:b w:val="0"/>
        </w:rPr>
        <w:t xml:space="preserve"> ORDL rewards received by long-term practitioners may have no market value at all; the reward rules may be changed or paused. Receiving tokens may have tax implications in some places; please check for yourself.</w:t>
      </w:r>
    </w:p>
    <w:p>
      <w:pPr>
        <w:ind w:left="425" w:hanging="283"/>
      </w:pPr>
      <w:r>
        <w:rPr>
          <w:rFonts w:ascii="Calibri" w:hAnsi="Calibri" w:cs="Calibri" w:eastAsia="Microsoft YaHei"/>
          <w:b w:val="0"/>
        </w:rPr>
        <w:t xml:space="preserve">4. </w:t>
      </w:r>
      <w:r>
        <w:rPr>
          <w:rFonts w:ascii="Calibri" w:hAnsi="Calibri" w:cs="Calibri" w:eastAsia="Microsoft YaHei"/>
          <w:b/>
        </w:rPr>
        <w:t>Holder perks may change.</w:t>
      </w:r>
      <w:r>
        <w:rPr>
          <w:rFonts w:ascii="Calibri" w:hAnsi="Calibri" w:cs="Calibri" w:eastAsia="Microsoft YaHei"/>
          <w:b w:val="0"/>
        </w:rPr>
        <w:t xml:space="preserve"> Holder perks (including the course discount) are membership conveniences, not investment returns, and cannot be transferred or exchanged. Tier thresholds, discount rates and the annual cap may be changed or stopped, with 30 days’ notice. Do not buy ORDL for the discount.</w:t>
      </w:r>
    </w:p>
    <w:p>
      <w:pPr>
        <w:ind w:left="425" w:hanging="283"/>
      </w:pPr>
      <w:r>
        <w:rPr>
          <w:rFonts w:ascii="Calibri" w:hAnsi="Calibri" w:cs="Calibri" w:eastAsia="Microsoft YaHei"/>
          <w:b w:val="0"/>
        </w:rPr>
        <w:t xml:space="preserve">5. </w:t>
      </w:r>
      <w:r>
        <w:rPr>
          <w:rFonts w:ascii="Calibri" w:hAnsi="Calibri" w:cs="Calibri" w:eastAsia="Microsoft YaHei"/>
          <w:b/>
        </w:rPr>
        <w:t>No promise of returns.</w:t>
      </w:r>
      <w:r>
        <w:rPr>
          <w:rFonts w:ascii="Calibri" w:hAnsi="Calibri" w:cs="Calibri" w:eastAsia="Microsoft YaHei"/>
          <w:b w:val="0"/>
        </w:rPr>
        <w:t xml:space="preserve"> We do not promise any return, interest, dividend or appreciation. Holder dividends are currently switched off; even if they are switched on one day, they would come only from real profit and could be zero for a long time.</w:t>
      </w:r>
    </w:p>
    <w:p>
      <w:pPr>
        <w:ind w:left="425" w:hanging="283"/>
      </w:pPr>
      <w:r>
        <w:rPr>
          <w:rFonts w:ascii="Calibri" w:hAnsi="Calibri" w:cs="Calibri" w:eastAsia="Microsoft YaHei"/>
          <w:b w:val="0"/>
        </w:rPr>
        <w:t xml:space="preserve">6. </w:t>
      </w:r>
      <w:r>
        <w:rPr>
          <w:rFonts w:ascii="Calibri" w:hAnsi="Calibri" w:cs="Calibri" w:eastAsia="Microsoft YaHei"/>
          <w:b/>
        </w:rPr>
        <w:t>The vision may not be realised.</w:t>
      </w:r>
      <w:r>
        <w:rPr>
          <w:rFonts w:ascii="Calibri" w:hAnsi="Calibri" w:cs="Calibri" w:eastAsia="Microsoft YaHei"/>
          <w:b w:val="0"/>
        </w:rPr>
        <w:t xml:space="preserve"> From Lab to League is a long-term direction. “Members no longer having to chase money” depends on the community’s real income; it may never be reached, or may take a very long time.</w:t>
      </w:r>
    </w:p>
    <w:p>
      <w:pPr>
        <w:ind w:left="425" w:hanging="283"/>
      </w:pPr>
      <w:r>
        <w:rPr>
          <w:rFonts w:ascii="Calibri" w:hAnsi="Calibri" w:cs="Calibri" w:eastAsia="Microsoft YaHei"/>
          <w:b w:val="0"/>
        </w:rPr>
        <w:t xml:space="preserve">7. </w:t>
      </w:r>
      <w:r>
        <w:rPr>
          <w:rFonts w:ascii="Calibri" w:hAnsi="Calibri" w:cs="Calibri" w:eastAsia="Microsoft YaHei"/>
          <w:b/>
        </w:rPr>
        <w:t>Regulatory uncertainty.</w:t>
      </w:r>
      <w:r>
        <w:rPr>
          <w:rFonts w:ascii="Calibri" w:hAnsi="Calibri" w:cs="Calibri" w:eastAsia="Microsoft YaHei"/>
          <w:b w:val="0"/>
        </w:rPr>
        <w:t xml:space="preserve"> Regulation of crypto assets, token distribution and esoteric services differs from country to country and keeps changing. Some features may not be available in some places (for example, some ORDL-related features may not be offered to residents of mainland China and other restricted regions). Rules may be adjusted because of legal requirements.</w:t>
      </w:r>
    </w:p>
    <w:p>
      <w:pPr>
        <w:ind w:left="425" w:hanging="283"/>
      </w:pPr>
      <w:r>
        <w:rPr>
          <w:rFonts w:ascii="Calibri" w:hAnsi="Calibri" w:cs="Calibri" w:eastAsia="Microsoft YaHei"/>
          <w:b w:val="0"/>
        </w:rPr>
        <w:t xml:space="preserve">8. </w:t>
      </w:r>
      <w:r>
        <w:rPr>
          <w:rFonts w:ascii="Calibri" w:hAnsi="Calibri" w:cs="Calibri" w:eastAsia="Microsoft YaHei"/>
          <w:b/>
        </w:rPr>
        <w:t>Technical risk.</w:t>
      </w:r>
      <w:r>
        <w:rPr>
          <w:rFonts w:ascii="Calibri" w:hAnsi="Calibri" w:cs="Calibri" w:eastAsia="Microsoft YaHei"/>
          <w:b w:val="0"/>
        </w:rPr>
        <w:t xml:space="preserve"> The Bitcoin network, BRC-20 indexers, wallets, the public chain and stablecoin used for settlement, the escrow contract and the website can all fail, be changed or be attacked.</w:t>
      </w:r>
    </w:p>
    <w:p>
      <w:pPr>
        <w:ind w:left="425" w:hanging="283"/>
      </w:pPr>
      <w:r>
        <w:rPr>
          <w:rFonts w:ascii="Calibri" w:hAnsi="Calibri" w:cs="Calibri" w:eastAsia="Microsoft YaHei"/>
          <w:b w:val="0"/>
        </w:rPr>
        <w:t xml:space="preserve">9. </w:t>
      </w:r>
      <w:r>
        <w:rPr>
          <w:rFonts w:ascii="Calibri" w:hAnsi="Calibri" w:cs="Calibri" w:eastAsia="Microsoft YaHei"/>
          <w:b/>
        </w:rPr>
        <w:t>Security.</w:t>
      </w:r>
      <w:r>
        <w:rPr>
          <w:rFonts w:ascii="Calibri" w:hAnsi="Calibri" w:cs="Calibri" w:eastAsia="Microsoft YaHei"/>
          <w:b w:val="0"/>
        </w:rPr>
        <w:t xml:space="preserve"> We will never ask for your seed phrase or private key. Linking a wallet only signs a short text; never sign a transaction or approve spending on any page that claims to be for “binding”.</w:t>
      </w:r>
    </w:p>
    <w:p>
      <w:pPr>
        <w:ind w:left="425" w:hanging="283"/>
      </w:pPr>
      <w:r>
        <w:rPr>
          <w:rFonts w:ascii="Calibri" w:hAnsi="Calibri" w:cs="Calibri" w:eastAsia="Microsoft YaHei"/>
          <w:b w:val="0"/>
        </w:rPr>
        <w:t xml:space="preserve">10. </w:t>
      </w:r>
      <w:r>
        <w:rPr>
          <w:rFonts w:ascii="Calibri" w:hAnsi="Calibri" w:cs="Calibri" w:eastAsia="Microsoft YaHei"/>
          <w:b/>
        </w:rPr>
        <w:t>Nature of the content.</w:t>
      </w:r>
      <w:r>
        <w:rPr>
          <w:rFonts w:ascii="Calibri" w:hAnsi="Calibri" w:cs="Calibri" w:eastAsia="Microsoft YaHei"/>
          <w:b w:val="0"/>
        </w:rPr>
        <w:t xml:space="preserve"> Content on practice and wellbeing is for learning only. It is not medical advice and cannot replace a doctor. Content on destiny, physiognomy and divination is cultural study and personal reference and guarantees no luck, fortune or health outcome. If you feel unwell, see a doctor first.</w:t>
      </w:r>
    </w:p>
    <w:p>
      <w:pPr>
        <w:ind w:left="425" w:hanging="283"/>
      </w:pPr>
      <w:r>
        <w:rPr>
          <w:rFonts w:ascii="Calibri" w:hAnsi="Calibri" w:cs="Calibri" w:eastAsia="Microsoft YaHei"/>
          <w:b w:val="0"/>
        </w:rPr>
        <w:t xml:space="preserve">11. </w:t>
      </w:r>
      <w:r>
        <w:rPr>
          <w:rFonts w:ascii="Calibri" w:hAnsi="Calibri" w:cs="Calibri" w:eastAsia="Microsoft YaHei"/>
          <w:b/>
        </w:rPr>
        <w:t>Team risk.</w:t>
      </w:r>
      <w:r>
        <w:rPr>
          <w:rFonts w:ascii="Calibri" w:hAnsi="Calibri" w:cs="Calibri" w:eastAsia="Microsoft YaHei"/>
          <w:b w:val="0"/>
        </w:rPr>
        <w:t xml:space="preserve"> The team is very small, and changes in key people could affect progress; that is why we have a succession plan and a multisig.</w:t>
      </w:r>
    </w:p>
    <w:p>
      <w:pPr>
        <w:pStyle w:val="Heading1"/>
      </w:pPr>
      <w:r>
        <w:t>10. Open items</w:t>
      </w:r>
    </w:p>
    <w:tbl>
      <w:tblPr>
        <w:tblStyle w:val="TableGrid"/>
        <w:tblW w:type="auto" w:w="0"/>
        <w:jc w:val="center"/>
        <w:tblLook w:firstColumn="1" w:firstRow="1" w:lastColumn="0" w:lastRow="0" w:noHBand="0" w:noVBand="1" w:val="04A0"/>
      </w:tblPr>
      <w:tblGrid>
        <w:gridCol w:w="4646"/>
        <w:gridCol w:w="4646"/>
      </w:tblGrid>
      <w:tr>
        <w:tc>
          <w:tcPr>
            <w:tcW w:type="dxa" w:w="4646"/>
            <w:shd w:val="clear" w:color="auto" w:fill="5B3A8C"/>
          </w:tcPr>
          <w:p>
            <w:pPr>
              <w:spacing w:line="300" w:lineRule="auto" w:after="0"/>
            </w:pPr>
            <w:r/>
            <w:r>
              <w:rPr>
                <w:rFonts w:ascii="Calibri" w:hAnsi="Calibri" w:cs="Calibri" w:eastAsia="Microsoft YaHei"/>
                <w:b/>
                <w:color w:val="FFFFFF"/>
                <w:sz w:val="18"/>
              </w:rPr>
              <w:t>Item</w:t>
            </w:r>
          </w:p>
        </w:tc>
        <w:tc>
          <w:tcPr>
            <w:tcW w:type="dxa" w:w="4646"/>
            <w:shd w:val="clear" w:color="auto" w:fill="5B3A8C"/>
          </w:tcPr>
          <w:p>
            <w:pPr>
              <w:spacing w:line="300" w:lineRule="auto" w:after="0"/>
            </w:pPr>
            <w:r/>
            <w:r>
              <w:rPr>
                <w:rFonts w:ascii="Calibri" w:hAnsi="Calibri" w:cs="Calibri" w:eastAsia="Microsoft YaHei"/>
                <w:b/>
                <w:color w:val="FFFFFF"/>
                <w:sz w:val="18"/>
              </w:rPr>
              <w:t>Status</w:t>
            </w:r>
          </w:p>
        </w:tc>
      </w:tr>
      <w:tr>
        <w:tc>
          <w:tcPr>
            <w:tcW w:type="dxa" w:w="4646"/>
          </w:tcPr>
          <w:p>
            <w:pPr>
              <w:spacing w:line="300" w:lineRule="auto" w:after="0"/>
            </w:pPr>
            <w:r/>
            <w:r>
              <w:rPr>
                <w:rFonts w:ascii="Calibri" w:hAnsi="Calibri" w:cs="Calibri" w:eastAsia="Microsoft YaHei"/>
                <w:b w:val="0"/>
                <w:sz w:val="18"/>
              </w:rPr>
              <w:t>Multisig signers and backup signers</w:t>
            </w:r>
          </w:p>
        </w:tc>
        <w:tc>
          <w:tcPr>
            <w:tcW w:type="dxa" w:w="4646"/>
          </w:tcPr>
          <w:p>
            <w:pPr>
              <w:spacing w:line="300" w:lineRule="auto" w:after="0"/>
            </w:pPr>
            <w:r/>
            <w:r>
              <w:rPr>
                <w:rFonts w:ascii="Calibri" w:hAnsi="Calibri" w:cs="Calibri" w:eastAsia="Microsoft YaHei"/>
                <w:b w:val="0"/>
                <w:sz w:val="18"/>
              </w:rPr>
              <w:t>TBD</w:t>
            </w:r>
          </w:p>
        </w:tc>
      </w:tr>
      <w:tr>
        <w:tc>
          <w:tcPr>
            <w:tcW w:type="dxa" w:w="4646"/>
            <w:shd w:val="clear" w:color="auto" w:fill="F3EFF8"/>
          </w:tcPr>
          <w:p>
            <w:pPr>
              <w:spacing w:line="300" w:lineRule="auto" w:after="0"/>
            </w:pPr>
            <w:r/>
            <w:r>
              <w:rPr>
                <w:rFonts w:ascii="Calibri" w:hAnsi="Calibri" w:cs="Calibri" w:eastAsia="Microsoft YaHei"/>
                <w:b w:val="0"/>
                <w:sz w:val="18"/>
              </w:rPr>
              <w:t>How to treat addresses that appear to be custodial or exchange addresses</w:t>
            </w:r>
          </w:p>
        </w:tc>
        <w:tc>
          <w:tcPr>
            <w:tcW w:type="dxa" w:w="4646"/>
            <w:shd w:val="clear" w:color="auto" w:fill="F3EFF8"/>
          </w:tcPr>
          <w:p>
            <w:pPr>
              <w:spacing w:line="300" w:lineRule="auto" w:after="0"/>
            </w:pPr>
            <w:r/>
            <w:r>
              <w:rPr>
                <w:rFonts w:ascii="Calibri" w:hAnsi="Calibri" w:cs="Calibri" w:eastAsia="Microsoft YaHei"/>
                <w:b w:val="0"/>
                <w:sz w:val="18"/>
              </w:rPr>
              <w:t>TBD</w:t>
            </w:r>
          </w:p>
        </w:tc>
      </w:tr>
      <w:tr>
        <w:tc>
          <w:tcPr>
            <w:tcW w:type="dxa" w:w="4646"/>
          </w:tcPr>
          <w:p>
            <w:pPr>
              <w:spacing w:line="300" w:lineRule="auto" w:after="0"/>
            </w:pPr>
            <w:r/>
            <w:r>
              <w:rPr>
                <w:rFonts w:ascii="Calibri" w:hAnsi="Calibri" w:cs="Calibri" w:eastAsia="Microsoft YaHei"/>
                <w:b w:val="0"/>
                <w:sz w:val="18"/>
              </w:rPr>
              <w:t>ORDL issuance details (whether a fair mint; early distribution)</w:t>
            </w:r>
          </w:p>
        </w:tc>
        <w:tc>
          <w:tcPr>
            <w:tcW w:type="dxa" w:w="4646"/>
          </w:tcPr>
          <w:p>
            <w:pPr>
              <w:spacing w:line="300" w:lineRule="auto" w:after="0"/>
            </w:pPr>
            <w:r/>
            <w:r>
              <w:rPr>
                <w:rFonts w:ascii="Calibri" w:hAnsi="Calibri" w:cs="Calibri" w:eastAsia="Microsoft YaHei"/>
                <w:b w:val="0"/>
                <w:sz w:val="18"/>
              </w:rPr>
              <w:t>To be confirmed</w:t>
            </w:r>
          </w:p>
        </w:tc>
      </w:tr>
      <w:tr>
        <w:tc>
          <w:tcPr>
            <w:tcW w:type="dxa" w:w="4646"/>
            <w:shd w:val="clear" w:color="auto" w:fill="F3EFF8"/>
          </w:tcPr>
          <w:p>
            <w:pPr>
              <w:spacing w:line="300" w:lineRule="auto" w:after="0"/>
            </w:pPr>
            <w:r/>
            <w:r>
              <w:rPr>
                <w:rFonts w:ascii="Calibri" w:hAnsi="Calibri" w:cs="Calibri" w:eastAsia="Microsoft YaHei"/>
                <w:b w:val="0"/>
                <w:sz w:val="18"/>
              </w:rPr>
              <w:t>ORDL rewards for long-term practitioners: source of the community allocation, the standard for “long-term practice”, anti-abuse rules, amounts and frequency</w:t>
            </w:r>
          </w:p>
        </w:tc>
        <w:tc>
          <w:tcPr>
            <w:tcW w:type="dxa" w:w="4646"/>
            <w:shd w:val="clear" w:color="auto" w:fill="F3EFF8"/>
          </w:tcPr>
          <w:p>
            <w:pPr>
              <w:spacing w:line="300" w:lineRule="auto" w:after="0"/>
            </w:pPr>
            <w:r/>
            <w:r>
              <w:rPr>
                <w:rFonts w:ascii="Calibri" w:hAnsi="Calibri" w:cs="Calibri" w:eastAsia="Microsoft YaHei"/>
                <w:b w:val="0"/>
                <w:sz w:val="18"/>
              </w:rPr>
              <w:t>TBD</w:t>
            </w:r>
          </w:p>
        </w:tc>
      </w:tr>
      <w:tr>
        <w:tc>
          <w:tcPr>
            <w:tcW w:type="dxa" w:w="4646"/>
          </w:tcPr>
          <w:p>
            <w:pPr>
              <w:spacing w:line="300" w:lineRule="auto" w:after="0"/>
            </w:pPr>
            <w:r/>
            <w:r>
              <w:rPr>
                <w:rFonts w:ascii="Calibri" w:hAnsi="Calibri" w:cs="Calibri" w:eastAsia="Microsoft YaHei"/>
                <w:b w:val="0"/>
                <w:sz w:val="18"/>
              </w:rPr>
              <w:t>Legal opinions (token distribution, practice support, contribution rewards)</w:t>
            </w:r>
          </w:p>
        </w:tc>
        <w:tc>
          <w:tcPr>
            <w:tcW w:type="dxa" w:w="4646"/>
          </w:tcPr>
          <w:p>
            <w:pPr>
              <w:spacing w:line="300" w:lineRule="auto" w:after="0"/>
            </w:pPr>
            <w:r/>
            <w:r>
              <w:rPr>
                <w:rFonts w:ascii="Calibri" w:hAnsi="Calibri" w:cs="Calibri" w:eastAsia="Microsoft YaHei"/>
                <w:b w:val="0"/>
                <w:sz w:val="18"/>
              </w:rPr>
              <w:t>TBD</w:t>
            </w:r>
          </w:p>
        </w:tc>
      </w:tr>
      <w:tr>
        <w:tc>
          <w:tcPr>
            <w:tcW w:type="dxa" w:w="4646"/>
            <w:shd w:val="clear" w:color="auto" w:fill="F3EFF8"/>
          </w:tcPr>
          <w:p>
            <w:pPr>
              <w:spacing w:line="300" w:lineRule="auto" w:after="0"/>
            </w:pPr>
            <w:r/>
            <w:r>
              <w:rPr>
                <w:rFonts w:ascii="Calibri" w:hAnsi="Calibri" w:cs="Calibri" w:eastAsia="Microsoft YaHei"/>
                <w:b w:val="0"/>
                <w:sz w:val="18"/>
              </w:rPr>
              <w:t>Exact numbers for each stage’s milestones</w:t>
            </w:r>
          </w:p>
        </w:tc>
        <w:tc>
          <w:tcPr>
            <w:tcW w:type="dxa" w:w="4646"/>
            <w:shd w:val="clear" w:color="auto" w:fill="F3EFF8"/>
          </w:tcPr>
          <w:p>
            <w:pPr>
              <w:spacing w:line="300" w:lineRule="auto" w:after="0"/>
            </w:pPr>
            <w:r/>
            <w:r>
              <w:rPr>
                <w:rFonts w:ascii="Calibri" w:hAnsi="Calibri" w:cs="Calibri" w:eastAsia="Microsoft YaHei"/>
                <w:b w:val="0"/>
                <w:sz w:val="18"/>
              </w:rPr>
              <w:t>TBD</w:t>
            </w:r>
          </w:p>
        </w:tc>
      </w:tr>
      <w:tr>
        <w:tc>
          <w:tcPr>
            <w:tcW w:type="dxa" w:w="4646"/>
          </w:tcPr>
          <w:p>
            <w:pPr>
              <w:spacing w:line="300" w:lineRule="auto" w:after="0"/>
            </w:pPr>
            <w:r/>
            <w:r>
              <w:rPr>
                <w:rFonts w:ascii="Calibri" w:hAnsi="Calibri" w:cs="Calibri" w:eastAsia="Microsoft YaHei"/>
                <w:b w:val="0"/>
                <w:sz w:val="18"/>
              </w:rPr>
              <w:t>Size of the practice support reserve and its annual spending share</w:t>
            </w:r>
          </w:p>
        </w:tc>
        <w:tc>
          <w:tcPr>
            <w:tcW w:type="dxa" w:w="4646"/>
          </w:tcPr>
          <w:p>
            <w:pPr>
              <w:spacing w:line="300" w:lineRule="auto" w:after="0"/>
            </w:pPr>
            <w:r/>
            <w:r>
              <w:rPr>
                <w:rFonts w:ascii="Calibri" w:hAnsi="Calibri" w:cs="Calibri" w:eastAsia="Microsoft YaHei"/>
                <w:b w:val="0"/>
                <w:sz w:val="18"/>
              </w:rPr>
              <w:t>TBD</w:t>
            </w:r>
          </w:p>
        </w:tc>
      </w:tr>
      <w:tr>
        <w:tc>
          <w:tcPr>
            <w:tcW w:type="dxa" w:w="4646"/>
            <w:shd w:val="clear" w:color="auto" w:fill="F3EFF8"/>
          </w:tcPr>
          <w:p>
            <w:pPr>
              <w:spacing w:line="300" w:lineRule="auto" w:after="0"/>
            </w:pPr>
            <w:r/>
            <w:r>
              <w:rPr>
                <w:rFonts w:ascii="Calibri" w:hAnsi="Calibri" w:cs="Calibri" w:eastAsia="Microsoft YaHei"/>
                <w:b w:val="0"/>
                <w:sz w:val="18"/>
              </w:rPr>
              <w:t>Detailed rules for contribution records and rewards</w:t>
            </w:r>
          </w:p>
        </w:tc>
        <w:tc>
          <w:tcPr>
            <w:tcW w:type="dxa" w:w="4646"/>
            <w:shd w:val="clear" w:color="auto" w:fill="F3EFF8"/>
          </w:tcPr>
          <w:p>
            <w:pPr>
              <w:spacing w:line="300" w:lineRule="auto" w:after="0"/>
            </w:pPr>
            <w:r/>
            <w:r>
              <w:rPr>
                <w:rFonts w:ascii="Calibri" w:hAnsi="Calibri" w:cs="Calibri" w:eastAsia="Microsoft YaHei"/>
                <w:b w:val="0"/>
                <w:sz w:val="18"/>
              </w:rPr>
              <w:t>TBD</w:t>
            </w:r>
          </w:p>
        </w:tc>
      </w:tr>
      <w:tr>
        <w:tc>
          <w:tcPr>
            <w:tcW w:type="dxa" w:w="4646"/>
          </w:tcPr>
          <w:p>
            <w:pPr>
              <w:spacing w:line="300" w:lineRule="auto" w:after="0"/>
            </w:pPr>
            <w:r/>
            <w:r>
              <w:rPr>
                <w:rFonts w:ascii="Calibri" w:hAnsi="Calibri" w:cs="Calibri" w:eastAsia="Microsoft YaHei"/>
                <w:b w:val="0"/>
                <w:sz w:val="18"/>
              </w:rPr>
              <w:t>Voting method for community governance</w:t>
            </w:r>
          </w:p>
        </w:tc>
        <w:tc>
          <w:tcPr>
            <w:tcW w:type="dxa" w:w="4646"/>
          </w:tcPr>
          <w:p>
            <w:pPr>
              <w:spacing w:line="300" w:lineRule="auto" w:after="0"/>
            </w:pPr>
            <w:r/>
            <w:r>
              <w:rPr>
                <w:rFonts w:ascii="Calibri" w:hAnsi="Calibri" w:cs="Calibri" w:eastAsia="Microsoft YaHei"/>
                <w:b w:val="0"/>
                <w:sz w:val="18"/>
              </w:rPr>
              <w:t>TBD</w:t>
            </w:r>
          </w:p>
        </w:tc>
      </w:tr>
      <w:tr>
        <w:tc>
          <w:tcPr>
            <w:tcW w:type="dxa" w:w="4646"/>
            <w:shd w:val="clear" w:color="auto" w:fill="F3EFF8"/>
          </w:tcPr>
          <w:p>
            <w:pPr>
              <w:spacing w:line="300" w:lineRule="auto" w:after="0"/>
            </w:pPr>
            <w:r/>
            <w:r>
              <w:rPr>
                <w:rFonts w:ascii="Calibri" w:hAnsi="Calibri" w:cs="Calibri" w:eastAsia="Microsoft YaHei"/>
                <w:b w:val="0"/>
                <w:sz w:val="18"/>
              </w:rPr>
              <w:t>Whether to offer merchandise</w:t>
            </w:r>
          </w:p>
        </w:tc>
        <w:tc>
          <w:tcPr>
            <w:tcW w:type="dxa" w:w="4646"/>
            <w:shd w:val="clear" w:color="auto" w:fill="F3EFF8"/>
          </w:tcPr>
          <w:p>
            <w:pPr>
              <w:spacing w:line="300" w:lineRule="auto" w:after="0"/>
            </w:pPr>
            <w:r/>
            <w:r>
              <w:rPr>
                <w:rFonts w:ascii="Calibri" w:hAnsi="Calibri" w:cs="Calibri" w:eastAsia="Microsoft YaHei"/>
                <w:b w:val="0"/>
                <w:sz w:val="18"/>
              </w:rPr>
              <w:t>TBD</w:t>
            </w:r>
          </w:p>
        </w:tc>
      </w:tr>
      <w:tr>
        <w:tc>
          <w:tcPr>
            <w:tcW w:type="dxa" w:w="4646"/>
          </w:tcPr>
          <w:p>
            <w:pPr>
              <w:spacing w:line="300" w:lineRule="auto" w:after="0"/>
            </w:pPr>
            <w:r/>
            <w:r>
              <w:rPr>
                <w:rFonts w:ascii="Calibri" w:hAnsi="Calibri" w:cs="Calibri" w:eastAsia="Microsoft YaHei"/>
                <w:b w:val="0"/>
                <w:sz w:val="18"/>
              </w:rPr>
              <w:t>Release dates for practice tools and publications</w:t>
            </w:r>
          </w:p>
        </w:tc>
        <w:tc>
          <w:tcPr>
            <w:tcW w:type="dxa" w:w="4646"/>
          </w:tcPr>
          <w:p>
            <w:pPr>
              <w:spacing w:line="300" w:lineRule="auto" w:after="0"/>
            </w:pPr>
            <w:r/>
            <w:r>
              <w:rPr>
                <w:rFonts w:ascii="Calibri" w:hAnsi="Calibri" w:cs="Calibri" w:eastAsia="Microsoft YaHei"/>
                <w:b w:val="0"/>
                <w:sz w:val="18"/>
              </w:rPr>
              <w:t>TBD</w:t>
            </w:r>
          </w:p>
        </w:tc>
      </w:tr>
    </w:tbl>
    <w:p/>
    <w:p>
      <w:pPr>
        <w:pStyle w:val="Heading1"/>
      </w:pPr>
      <w:r>
        <w:t>Closing</w:t>
      </w:r>
    </w:p>
    <w:p>
      <w:r>
        <w:rPr>
          <w:rFonts w:ascii="Calibri" w:hAnsi="Calibri" w:cs="Calibri" w:eastAsia="Microsoft YaHei"/>
          <w:b w:val="0"/>
        </w:rPr>
        <w:t>What we want to do is simple: help people see a little more clearly, choose a little more steadily, and live in a way they can stand behind.</w:t>
      </w:r>
    </w:p>
    <w:p>
      <w:r>
        <w:rPr>
          <w:rFonts w:ascii="Calibri" w:hAnsi="Calibri" w:cs="Calibri" w:eastAsia="Microsoft YaHei"/>
          <w:b w:val="0"/>
        </w:rPr>
        <w:t>Money is only a tool that lets this go further. We would rather go a little slower, build solid reserves and keep the books in the open than say a single thing we cannot deliver.</w:t>
      </w:r>
    </w:p>
    <w:p>
      <w:r>
        <w:rPr>
          <w:rFonts w:ascii="Calibri" w:hAnsi="Calibri" w:cs="Calibri" w:eastAsia="Microsoft YaHei"/>
          <w:b w:val="0"/>
        </w:rPr>
        <w:t>If you also believe that human upgrade starts from the inside, you are welcome at ordl.net, to practise together and build together.</w:t>
      </w:r>
    </w:p>
    <w:p>
      <w:r>
        <w:rPr>
          <w:rFonts w:ascii="Calibri" w:hAnsi="Calibri" w:cs="Calibri" w:eastAsia="Microsoft YaHei"/>
          <w:b w:val="0"/>
        </w:rPr>
        <w:t>Return · Refine · Reunite.</w:t>
      </w:r>
    </w:p>
    <w:p>
      <w:r>
        <w:rPr>
          <w:rFonts w:ascii="Calibri" w:hAnsi="Calibri" w:cs="Calibri" w:eastAsia="Microsoft YaHei"/>
          <w:b w:val="0"/>
        </w:rPr>
        <w:t>We care, we share.</w:t>
      </w:r>
    </w:p>
    <w:p>
      <w:r>
        <w:br w:type="page"/>
      </w:r>
    </w:p>
    <w:p>
      <w:pPr>
        <w:pStyle w:val="Heading1"/>
      </w:pPr>
      <w:r>
        <w:t>Appendix: revision record (old version → v2.0)</w:t>
      </w:r>
    </w:p>
    <w:tbl>
      <w:tblPr>
        <w:tblStyle w:val="TableGrid"/>
        <w:tblW w:type="auto" w:w="0"/>
        <w:jc w:val="center"/>
        <w:tblLook w:firstColumn="1" w:firstRow="1" w:lastColumn="0" w:lastRow="0" w:noHBand="0" w:noVBand="1" w:val="04A0"/>
      </w:tblPr>
      <w:tblGrid>
        <w:gridCol w:w="3097"/>
        <w:gridCol w:w="3097"/>
        <w:gridCol w:w="3097"/>
      </w:tblGrid>
      <w:tr>
        <w:tc>
          <w:tcPr>
            <w:tcW w:type="dxa" w:w="3097"/>
            <w:shd w:val="clear" w:color="auto" w:fill="5B3A8C"/>
          </w:tcPr>
          <w:p>
            <w:pPr>
              <w:spacing w:line="300" w:lineRule="auto" w:after="0"/>
            </w:pPr>
            <w:r/>
            <w:r>
              <w:rPr>
                <w:rFonts w:ascii="Calibri" w:hAnsi="Calibri" w:cs="Calibri" w:eastAsia="Microsoft YaHei"/>
                <w:b/>
                <w:color w:val="FFFFFF"/>
                <w:sz w:val="18"/>
              </w:rPr>
              <w:t>In the old version</w:t>
            </w:r>
          </w:p>
        </w:tc>
        <w:tc>
          <w:tcPr>
            <w:tcW w:type="dxa" w:w="3097"/>
            <w:shd w:val="clear" w:color="auto" w:fill="5B3A8C"/>
          </w:tcPr>
          <w:p>
            <w:pPr>
              <w:spacing w:line="300" w:lineRule="auto" w:after="0"/>
            </w:pPr>
            <w:r/>
            <w:r>
              <w:rPr>
                <w:rFonts w:ascii="Calibri" w:hAnsi="Calibri" w:cs="Calibri" w:eastAsia="Microsoft YaHei"/>
                <w:b/>
                <w:color w:val="FFFFFF"/>
                <w:sz w:val="18"/>
              </w:rPr>
              <w:t>How v2.0 handles it</w:t>
            </w:r>
          </w:p>
        </w:tc>
        <w:tc>
          <w:tcPr>
            <w:tcW w:type="dxa" w:w="3097"/>
            <w:shd w:val="clear" w:color="auto" w:fill="5B3A8C"/>
          </w:tcPr>
          <w:p>
            <w:pPr>
              <w:spacing w:line="300" w:lineRule="auto" w:after="0"/>
            </w:pPr>
            <w:r/>
            <w:r>
              <w:rPr>
                <w:rFonts w:ascii="Calibri" w:hAnsi="Calibri" w:cs="Calibri" w:eastAsia="Microsoft YaHei"/>
                <w:b/>
                <w:color w:val="FFFFFF"/>
                <w:sz w:val="18"/>
              </w:rPr>
              <w:t>Why</w:t>
            </w:r>
          </w:p>
        </w:tc>
      </w:tr>
      <w:tr>
        <w:tc>
          <w:tcPr>
            <w:tcW w:type="dxa" w:w="3097"/>
          </w:tcPr>
          <w:p>
            <w:pPr>
              <w:spacing w:line="300" w:lineRule="auto" w:after="0"/>
            </w:pPr>
            <w:r/>
            <w:r>
              <w:rPr>
                <w:rFonts w:ascii="Calibri" w:hAnsi="Calibri" w:cs="Calibri" w:eastAsia="Microsoft YaHei"/>
                <w:b w:val="0"/>
                <w:sz w:val="18"/>
              </w:rPr>
              <w:t>Title “Desci Blockchain Project Whitepaper”</w:t>
            </w:r>
          </w:p>
        </w:tc>
        <w:tc>
          <w:tcPr>
            <w:tcW w:type="dxa" w:w="3097"/>
          </w:tcPr>
          <w:p>
            <w:pPr>
              <w:spacing w:line="300" w:lineRule="auto" w:after="0"/>
            </w:pPr>
            <w:r/>
            <w:r>
              <w:rPr>
                <w:rFonts w:ascii="Calibri" w:hAnsi="Calibri" w:cs="Calibri" w:eastAsia="Microsoft YaHei"/>
                <w:b w:val="0"/>
                <w:sz w:val="18"/>
              </w:rPr>
              <w:t>Renamed ORDL Whitepaper v2.0, with the official name and motto</w:t>
            </w:r>
          </w:p>
        </w:tc>
        <w:tc>
          <w:tcPr>
            <w:tcW w:type="dxa" w:w="3097"/>
          </w:tcPr>
          <w:p>
            <w:pPr>
              <w:spacing w:line="300" w:lineRule="auto" w:after="0"/>
            </w:pPr>
            <w:r/>
            <w:r>
              <w:rPr>
                <w:rFonts w:ascii="Calibri" w:hAnsi="Calibri" w:cs="Calibri" w:eastAsia="Microsoft YaHei"/>
                <w:b w:val="0"/>
                <w:sz w:val="18"/>
              </w:rPr>
              <w:t>The project now has an official name and website</w:t>
            </w:r>
          </w:p>
        </w:tc>
      </w:tr>
      <w:tr>
        <w:tc>
          <w:tcPr>
            <w:tcW w:type="dxa" w:w="3097"/>
            <w:shd w:val="clear" w:color="auto" w:fill="F3EFF8"/>
          </w:tcPr>
          <w:p>
            <w:pPr>
              <w:spacing w:line="300" w:lineRule="auto" w:after="0"/>
            </w:pPr>
            <w:r/>
            <w:r>
              <w:rPr>
                <w:rFonts w:ascii="Calibri" w:hAnsi="Calibri" w:cs="Calibri" w:eastAsia="Microsoft YaHei"/>
                <w:b w:val="0"/>
                <w:sz w:val="18"/>
              </w:rPr>
              <w:t>Background sold on luck, fortune-telling, blessings and avoiding misfortune</w:t>
            </w:r>
          </w:p>
        </w:tc>
        <w:tc>
          <w:tcPr>
            <w:tcW w:type="dxa" w:w="3097"/>
            <w:shd w:val="clear" w:color="auto" w:fill="F3EFF8"/>
          </w:tcPr>
          <w:p>
            <w:pPr>
              <w:spacing w:line="300" w:lineRule="auto" w:after="0"/>
            </w:pPr>
            <w:r/>
            <w:r>
              <w:rPr>
                <w:rFonts w:ascii="Calibri" w:hAnsi="Calibri" w:cs="Calibri" w:eastAsia="Microsoft YaHei"/>
                <w:b w:val="0"/>
                <w:sz w:val="18"/>
              </w:rPr>
              <w:t>Recast as “human upgrade”; destiny, physiognomy and divination become subjects of cultural study and scientific testing</w:t>
            </w:r>
          </w:p>
        </w:tc>
        <w:tc>
          <w:tcPr>
            <w:tcW w:type="dxa" w:w="3097"/>
            <w:shd w:val="clear" w:color="auto" w:fill="F3EFF8"/>
          </w:tcPr>
          <w:p>
            <w:pPr>
              <w:spacing w:line="300" w:lineRule="auto" w:after="0"/>
            </w:pPr>
            <w:r/>
            <w:r>
              <w:rPr>
                <w:rFonts w:ascii="Calibri" w:hAnsi="Calibri" w:cs="Calibri" w:eastAsia="Microsoft YaHei"/>
                <w:b w:val="0"/>
                <w:sz w:val="18"/>
              </w:rPr>
              <w:t>No promises of luck or fortune</w:t>
            </w:r>
          </w:p>
        </w:tc>
      </w:tr>
      <w:tr>
        <w:tc>
          <w:tcPr>
            <w:tcW w:type="dxa" w:w="3097"/>
          </w:tcPr>
          <w:p>
            <w:pPr>
              <w:spacing w:line="300" w:lineRule="auto" w:after="0"/>
            </w:pPr>
            <w:r/>
            <w:r>
              <w:rPr>
                <w:rFonts w:ascii="Calibri" w:hAnsi="Calibri" w:cs="Calibri" w:eastAsia="Microsoft YaHei"/>
                <w:b w:val="0"/>
                <w:sz w:val="18"/>
              </w:rPr>
              <w:t>“Blessing rituals”, “paid blessing rituals”</w:t>
            </w:r>
          </w:p>
        </w:tc>
        <w:tc>
          <w:tcPr>
            <w:tcW w:type="dxa" w:w="3097"/>
          </w:tcPr>
          <w:p>
            <w:pPr>
              <w:spacing w:line="300" w:lineRule="auto" w:after="0"/>
            </w:pPr>
            <w:r/>
            <w:r>
              <w:rPr>
                <w:rFonts w:ascii="Calibri" w:hAnsi="Calibri" w:cs="Calibri" w:eastAsia="Microsoft YaHei"/>
                <w:b w:val="0"/>
                <w:sz w:val="18"/>
              </w:rPr>
              <w:t>Removed</w:t>
            </w:r>
          </w:p>
        </w:tc>
        <w:tc>
          <w:tcPr>
            <w:tcW w:type="dxa" w:w="3097"/>
          </w:tcPr>
          <w:p>
            <w:pPr>
              <w:spacing w:line="300" w:lineRule="auto" w:after="0"/>
            </w:pPr>
            <w:r/>
            <w:r>
              <w:rPr>
                <w:rFonts w:ascii="Calibri" w:hAnsi="Calibri" w:cs="Calibri" w:eastAsia="Microsoft YaHei"/>
                <w:b w:val="0"/>
                <w:sz w:val="18"/>
              </w:rPr>
              <w:t>They imply promised effects, against “promise only what we can deliver”</w:t>
            </w:r>
          </w:p>
        </w:tc>
      </w:tr>
      <w:tr>
        <w:tc>
          <w:tcPr>
            <w:tcW w:type="dxa" w:w="3097"/>
            <w:shd w:val="clear" w:color="auto" w:fill="F3EFF8"/>
          </w:tcPr>
          <w:p>
            <w:pPr>
              <w:spacing w:line="300" w:lineRule="auto" w:after="0"/>
            </w:pPr>
            <w:r/>
            <w:r>
              <w:rPr>
                <w:rFonts w:ascii="Calibri" w:hAnsi="Calibri" w:cs="Calibri" w:eastAsia="Microsoft YaHei"/>
                <w:b w:val="0"/>
                <w:sz w:val="18"/>
              </w:rPr>
              <w:t>“Prediction reports” as a product</w:t>
            </w:r>
          </w:p>
        </w:tc>
        <w:tc>
          <w:tcPr>
            <w:tcW w:type="dxa" w:w="3097"/>
            <w:shd w:val="clear" w:color="auto" w:fill="F3EFF8"/>
          </w:tcPr>
          <w:p>
            <w:pPr>
              <w:spacing w:line="300" w:lineRule="auto" w:after="0"/>
            </w:pPr>
            <w:r/>
            <w:r>
              <w:rPr>
                <w:rFonts w:ascii="Calibri" w:hAnsi="Calibri" w:cs="Calibri" w:eastAsia="Microsoft YaHei"/>
                <w:b w:val="0"/>
                <w:sz w:val="18"/>
              </w:rPr>
              <w:t>Replaced by public experiments, with hits and misses published alike</w:t>
            </w:r>
          </w:p>
        </w:tc>
        <w:tc>
          <w:tcPr>
            <w:tcW w:type="dxa" w:w="3097"/>
            <w:shd w:val="clear" w:color="auto" w:fill="F3EFF8"/>
          </w:tcPr>
          <w:p>
            <w:pPr>
              <w:spacing w:line="300" w:lineRule="auto" w:after="0"/>
            </w:pPr>
            <w:r/>
            <w:r>
              <w:rPr>
                <w:rFonts w:ascii="Calibri" w:hAnsi="Calibri" w:cs="Calibri" w:eastAsia="Microsoft YaHei"/>
                <w:b w:val="0"/>
                <w:sz w:val="18"/>
              </w:rPr>
              <w:t>Closer to a scientific approach</w:t>
            </w:r>
          </w:p>
        </w:tc>
      </w:tr>
      <w:tr>
        <w:tc>
          <w:tcPr>
            <w:tcW w:type="dxa" w:w="3097"/>
          </w:tcPr>
          <w:p>
            <w:pPr>
              <w:spacing w:line="300" w:lineRule="auto" w:after="0"/>
            </w:pPr>
            <w:r/>
            <w:r>
              <w:rPr>
                <w:rFonts w:ascii="Calibri" w:hAnsi="Calibri" w:cs="Calibri" w:eastAsia="Microsoft YaHei"/>
                <w:b w:val="0"/>
                <w:sz w:val="18"/>
              </w:rPr>
              <w:t>A vague “technical architecture”</w:t>
            </w:r>
          </w:p>
        </w:tc>
        <w:tc>
          <w:tcPr>
            <w:tcW w:type="dxa" w:w="3097"/>
          </w:tcPr>
          <w:p>
            <w:pPr>
              <w:spacing w:line="300" w:lineRule="auto" w:after="0"/>
            </w:pPr>
            <w:r/>
            <w:r>
              <w:rPr>
                <w:rFonts w:ascii="Calibri" w:hAnsi="Calibri" w:cs="Calibri" w:eastAsia="Microsoft YaHei"/>
                <w:b w:val="0"/>
                <w:sz w:val="18"/>
              </w:rPr>
              <w:t>Replaced by the components actually in use: a BRC-20 token on Bitcoin, on-chain escrow settlement, wallet-signature linking, the website and the AI practice companion</w:t>
            </w:r>
          </w:p>
        </w:tc>
        <w:tc>
          <w:tcPr>
            <w:tcW w:type="dxa" w:w="3097"/>
          </w:tcPr>
          <w:p>
            <w:pPr>
              <w:spacing w:line="300" w:lineRule="auto" w:after="0"/>
            </w:pPr>
            <w:r/>
            <w:r>
              <w:rPr>
                <w:rFonts w:ascii="Calibri" w:hAnsi="Calibri" w:cs="Calibri" w:eastAsia="Microsoft YaHei"/>
                <w:b w:val="0"/>
                <w:sz w:val="18"/>
              </w:rPr>
              <w:t>Describe what really exists</w:t>
            </w:r>
          </w:p>
        </w:tc>
      </w:tr>
      <w:tr>
        <w:tc>
          <w:tcPr>
            <w:tcW w:type="dxa" w:w="3097"/>
            <w:shd w:val="clear" w:color="auto" w:fill="F3EFF8"/>
          </w:tcPr>
          <w:p>
            <w:pPr>
              <w:spacing w:line="300" w:lineRule="auto" w:after="0"/>
            </w:pPr>
            <w:r/>
            <w:r>
              <w:rPr>
                <w:rFonts w:ascii="Calibri" w:hAnsi="Calibri" w:cs="Calibri" w:eastAsia="Microsoft YaHei"/>
                <w:b w:val="0"/>
                <w:sz w:val="18"/>
              </w:rPr>
              <w:t>“Top-tier esoteric and Web3 resources”, “the world’s largest”, “filling a gap”</w:t>
            </w:r>
          </w:p>
        </w:tc>
        <w:tc>
          <w:tcPr>
            <w:tcW w:type="dxa" w:w="3097"/>
            <w:shd w:val="clear" w:color="auto" w:fill="F3EFF8"/>
          </w:tcPr>
          <w:p>
            <w:pPr>
              <w:spacing w:line="300" w:lineRule="auto" w:after="0"/>
            </w:pPr>
            <w:r/>
            <w:r>
              <w:rPr>
                <w:rFonts w:ascii="Calibri" w:hAnsi="Calibri" w:cs="Calibri" w:eastAsia="Microsoft YaHei"/>
                <w:b w:val="0"/>
                <w:sz w:val="18"/>
              </w:rPr>
              <w:t>Removed</w:t>
            </w:r>
          </w:p>
        </w:tc>
        <w:tc>
          <w:tcPr>
            <w:tcW w:type="dxa" w:w="3097"/>
            <w:shd w:val="clear" w:color="auto" w:fill="F3EFF8"/>
          </w:tcPr>
          <w:p>
            <w:pPr>
              <w:spacing w:line="300" w:lineRule="auto" w:after="0"/>
            </w:pPr>
            <w:r/>
            <w:r>
              <w:rPr>
                <w:rFonts w:ascii="Calibri" w:hAnsi="Calibri" w:cs="Calibri" w:eastAsia="Microsoft YaHei"/>
                <w:b w:val="0"/>
                <w:sz w:val="18"/>
              </w:rPr>
              <w:t>Cannot be verified</w:t>
            </w:r>
          </w:p>
        </w:tc>
      </w:tr>
      <w:tr>
        <w:tc>
          <w:tcPr>
            <w:tcW w:type="dxa" w:w="3097"/>
          </w:tcPr>
          <w:p>
            <w:pPr>
              <w:spacing w:line="300" w:lineRule="auto" w:after="0"/>
            </w:pPr>
            <w:r/>
            <w:r>
              <w:rPr>
                <w:rFonts w:ascii="Calibri" w:hAnsi="Calibri" w:cs="Calibri" w:eastAsia="Microsoft YaHei"/>
                <w:b w:val="0"/>
                <w:sz w:val="18"/>
              </w:rPr>
              <w:t>Valuation forecasts in the old version</w:t>
            </w:r>
          </w:p>
        </w:tc>
        <w:tc>
          <w:tcPr>
            <w:tcW w:type="dxa" w:w="3097"/>
          </w:tcPr>
          <w:p>
            <w:pPr>
              <w:spacing w:line="300" w:lineRule="auto" w:after="0"/>
            </w:pPr>
            <w:r/>
            <w:r>
              <w:rPr>
                <w:rFonts w:ascii="Calibri" w:hAnsi="Calibri" w:cs="Calibri" w:eastAsia="Microsoft YaHei"/>
                <w:b w:val="0"/>
                <w:sz w:val="18"/>
              </w:rPr>
              <w:t>Removed</w:t>
            </w:r>
          </w:p>
        </w:tc>
        <w:tc>
          <w:tcPr>
            <w:tcW w:type="dxa" w:w="3097"/>
          </w:tcPr>
          <w:p>
            <w:pPr>
              <w:spacing w:line="300" w:lineRule="auto" w:after="0"/>
            </w:pPr>
            <w:r/>
            <w:r>
              <w:rPr>
                <w:rFonts w:ascii="Calibri" w:hAnsi="Calibri" w:cs="Calibri" w:eastAsia="Microsoft YaHei"/>
                <w:b w:val="0"/>
                <w:sz w:val="18"/>
              </w:rPr>
              <w:t>Valuation forecasts amount to price suggestions</w:t>
            </w:r>
          </w:p>
        </w:tc>
      </w:tr>
      <w:tr>
        <w:tc>
          <w:tcPr>
            <w:tcW w:type="dxa" w:w="3097"/>
            <w:shd w:val="clear" w:color="auto" w:fill="F3EFF8"/>
          </w:tcPr>
          <w:p>
            <w:pPr>
              <w:spacing w:line="300" w:lineRule="auto" w:after="0"/>
            </w:pPr>
            <w:r/>
            <w:r>
              <w:rPr>
                <w:rFonts w:ascii="Calibri" w:hAnsi="Calibri" w:cs="Calibri" w:eastAsia="Microsoft YaHei"/>
                <w:b w:val="0"/>
                <w:sz w:val="18"/>
              </w:rPr>
              <w:t>“Crypto market-cap management”</w:t>
            </w:r>
          </w:p>
        </w:tc>
        <w:tc>
          <w:tcPr>
            <w:tcW w:type="dxa" w:w="3097"/>
            <w:shd w:val="clear" w:color="auto" w:fill="F3EFF8"/>
          </w:tcPr>
          <w:p>
            <w:pPr>
              <w:spacing w:line="300" w:lineRule="auto" w:after="0"/>
            </w:pPr>
            <w:r/>
            <w:r>
              <w:rPr>
                <w:rFonts w:ascii="Calibri" w:hAnsi="Calibri" w:cs="Calibri" w:eastAsia="Microsoft YaHei"/>
                <w:b w:val="0"/>
                <w:sz w:val="18"/>
              </w:rPr>
              <w:t>Removed, and we state clearly that we do no market-cap management</w:t>
            </w:r>
          </w:p>
        </w:tc>
        <w:tc>
          <w:tcPr>
            <w:tcW w:type="dxa" w:w="3097"/>
            <w:shd w:val="clear" w:color="auto" w:fill="F3EFF8"/>
          </w:tcPr>
          <w:p>
            <w:pPr>
              <w:spacing w:line="300" w:lineRule="auto" w:after="0"/>
            </w:pPr>
            <w:r/>
            <w:r>
              <w:rPr>
                <w:rFonts w:ascii="Calibri" w:hAnsi="Calibri" w:cs="Calibri" w:eastAsia="Microsoft YaHei"/>
                <w:b w:val="0"/>
                <w:sz w:val="18"/>
              </w:rPr>
              <w:t>It implies price manipulation</w:t>
            </w:r>
          </w:p>
        </w:tc>
      </w:tr>
      <w:tr>
        <w:tc>
          <w:tcPr>
            <w:tcW w:type="dxa" w:w="3097"/>
          </w:tcPr>
          <w:p>
            <w:pPr>
              <w:spacing w:line="300" w:lineRule="auto" w:after="0"/>
            </w:pPr>
            <w:r/>
            <w:r>
              <w:rPr>
                <w:rFonts w:ascii="Calibri" w:hAnsi="Calibri" w:cs="Calibri" w:eastAsia="Microsoft YaHei"/>
                <w:b w:val="0"/>
                <w:sz w:val="18"/>
              </w:rPr>
              <w:t>“Reserve funds to keep the token stable”</w:t>
            </w:r>
          </w:p>
        </w:tc>
        <w:tc>
          <w:tcPr>
            <w:tcW w:type="dxa" w:w="3097"/>
          </w:tcPr>
          <w:p>
            <w:pPr>
              <w:spacing w:line="300" w:lineRule="auto" w:after="0"/>
            </w:pPr>
            <w:r/>
            <w:r>
              <w:rPr>
                <w:rFonts w:ascii="Calibri" w:hAnsi="Calibri" w:cs="Calibri" w:eastAsia="Microsoft YaHei"/>
                <w:b w:val="0"/>
                <w:sz w:val="18"/>
              </w:rPr>
              <w:t>Changed to “reserves fund operations and practice support; reserves first, spending later”</w:t>
            </w:r>
          </w:p>
        </w:tc>
        <w:tc>
          <w:tcPr>
            <w:tcW w:type="dxa" w:w="3097"/>
          </w:tcPr>
          <w:p>
            <w:pPr>
              <w:spacing w:line="300" w:lineRule="auto" w:after="0"/>
            </w:pPr>
            <w:r/>
            <w:r>
              <w:rPr>
                <w:rFonts w:ascii="Calibri" w:hAnsi="Calibri" w:cs="Calibri" w:eastAsia="Microsoft YaHei"/>
                <w:b w:val="0"/>
                <w:sz w:val="18"/>
              </w:rPr>
              <w:t>Reserves do not prop up the price</w:t>
            </w:r>
          </w:p>
        </w:tc>
      </w:tr>
      <w:tr>
        <w:tc>
          <w:tcPr>
            <w:tcW w:type="dxa" w:w="3097"/>
            <w:shd w:val="clear" w:color="auto" w:fill="F3EFF8"/>
          </w:tcPr>
          <w:p>
            <w:pPr>
              <w:spacing w:line="300" w:lineRule="auto" w:after="0"/>
            </w:pPr>
            <w:r/>
            <w:r>
              <w:rPr>
                <w:rFonts w:ascii="Calibri" w:hAnsi="Calibri" w:cs="Calibri" w:eastAsia="Microsoft YaHei"/>
                <w:b w:val="0"/>
                <w:sz w:val="18"/>
              </w:rPr>
              <w:t>“Collect old coins to reactivate old users, keep spinning off related coins”</w:t>
            </w:r>
          </w:p>
        </w:tc>
        <w:tc>
          <w:tcPr>
            <w:tcW w:type="dxa" w:w="3097"/>
            <w:shd w:val="clear" w:color="auto" w:fill="F3EFF8"/>
          </w:tcPr>
          <w:p>
            <w:pPr>
              <w:spacing w:line="300" w:lineRule="auto" w:after="0"/>
            </w:pPr>
            <w:r/>
            <w:r>
              <w:rPr>
                <w:rFonts w:ascii="Calibri" w:hAnsi="Calibri" w:cs="Calibri" w:eastAsia="Microsoft YaHei"/>
                <w:b w:val="0"/>
                <w:sz w:val="18"/>
              </w:rPr>
              <w:t>Removed</w:t>
            </w:r>
          </w:p>
        </w:tc>
        <w:tc>
          <w:tcPr>
            <w:tcW w:type="dxa" w:w="3097"/>
            <w:shd w:val="clear" w:color="auto" w:fill="F3EFF8"/>
          </w:tcPr>
          <w:p>
            <w:pPr>
              <w:spacing w:line="300" w:lineRule="auto" w:after="0"/>
            </w:pPr>
            <w:r/>
            <w:r>
              <w:rPr>
                <w:rFonts w:ascii="Calibri" w:hAnsi="Calibri" w:cs="Calibri" w:eastAsia="Microsoft YaHei"/>
                <w:b w:val="0"/>
                <w:sz w:val="18"/>
              </w:rPr>
              <w:t>Against the spirit of the project, and high-risk</w:t>
            </w:r>
          </w:p>
        </w:tc>
      </w:tr>
      <w:tr>
        <w:tc>
          <w:tcPr>
            <w:tcW w:type="dxa" w:w="3097"/>
          </w:tcPr>
          <w:p>
            <w:pPr>
              <w:spacing w:line="300" w:lineRule="auto" w:after="0"/>
            </w:pPr>
            <w:r/>
            <w:r>
              <w:rPr>
                <w:rFonts w:ascii="Calibri" w:hAnsi="Calibri" w:cs="Calibri" w:eastAsia="Microsoft YaHei"/>
                <w:b w:val="0"/>
                <w:sz w:val="18"/>
              </w:rPr>
              <w:t>“The community invests tokens in content and shares the returns”</w:t>
            </w:r>
          </w:p>
        </w:tc>
        <w:tc>
          <w:tcPr>
            <w:tcW w:type="dxa" w:w="3097"/>
          </w:tcPr>
          <w:p>
            <w:pPr>
              <w:spacing w:line="300" w:lineRule="auto" w:after="0"/>
            </w:pPr>
            <w:r/>
            <w:r>
              <w:rPr>
                <w:rFonts w:ascii="Calibri" w:hAnsi="Calibri" w:cs="Calibri" w:eastAsia="Microsoft YaHei"/>
                <w:b w:val="0"/>
                <w:sz w:val="18"/>
              </w:rPr>
              <w:t>Removed; co-creation becomes co-creators taking part, with no paid reviews</w:t>
            </w:r>
          </w:p>
        </w:tc>
        <w:tc>
          <w:tcPr>
            <w:tcW w:type="dxa" w:w="3097"/>
          </w:tcPr>
          <w:p>
            <w:pPr>
              <w:spacing w:line="300" w:lineRule="auto" w:after="0"/>
            </w:pPr>
            <w:r/>
            <w:r>
              <w:rPr>
                <w:rFonts w:ascii="Calibri" w:hAnsi="Calibri" w:cs="Calibri" w:eastAsia="Microsoft YaHei"/>
                <w:b w:val="0"/>
                <w:sz w:val="18"/>
              </w:rPr>
              <w:t>It implies promised investment returns</w:t>
            </w:r>
          </w:p>
        </w:tc>
      </w:tr>
      <w:tr>
        <w:tc>
          <w:tcPr>
            <w:tcW w:type="dxa" w:w="3097"/>
            <w:shd w:val="clear" w:color="auto" w:fill="F3EFF8"/>
          </w:tcPr>
          <w:p>
            <w:pPr>
              <w:spacing w:line="300" w:lineRule="auto" w:after="0"/>
            </w:pPr>
            <w:r/>
            <w:r>
              <w:rPr>
                <w:rFonts w:ascii="Calibri" w:hAnsi="Calibri" w:cs="Calibri" w:eastAsia="Microsoft YaHei"/>
                <w:b w:val="0"/>
                <w:sz w:val="18"/>
              </w:rPr>
              <w:t>“VIP membership by staking tokens”</w:t>
            </w:r>
          </w:p>
        </w:tc>
        <w:tc>
          <w:tcPr>
            <w:tcW w:type="dxa" w:w="3097"/>
            <w:shd w:val="clear" w:color="auto" w:fill="F3EFF8"/>
          </w:tcPr>
          <w:p>
            <w:pPr>
              <w:spacing w:line="300" w:lineRule="auto" w:after="0"/>
            </w:pPr>
            <w:r/>
            <w:r>
              <w:rPr>
                <w:rFonts w:ascii="Calibri" w:hAnsi="Calibri" w:cs="Calibri" w:eastAsia="Microsoft YaHei"/>
                <w:b w:val="0"/>
                <w:sz w:val="18"/>
              </w:rPr>
              <w:t>Replaced by Fellow / Supporter / Patron tiers linked by wallet signature: mainly service conveniences, plus a capped course discount (once courses are live: 10% / 20% / 30% off, at most 100 USDC per account per year); ORDL earned as practice rewards qualifies too</w:t>
            </w:r>
          </w:p>
        </w:tc>
        <w:tc>
          <w:tcPr>
            <w:tcW w:type="dxa" w:w="3097"/>
            <w:shd w:val="clear" w:color="auto" w:fill="F3EFF8"/>
          </w:tcPr>
          <w:p>
            <w:pPr>
              <w:spacing w:line="300" w:lineRule="auto" w:after="0"/>
            </w:pPr>
            <w:r/>
            <w:r>
              <w:rPr>
                <w:rFonts w:ascii="Calibri" w:hAnsi="Calibri" w:cs="Calibri" w:eastAsia="Microsoft YaHei"/>
                <w:b w:val="0"/>
                <w:sz w:val="18"/>
              </w:rPr>
              <w:t>Matches what is actually live; the discount is an identity convenience, not an investment return</w:t>
            </w:r>
          </w:p>
        </w:tc>
      </w:tr>
      <w:tr>
        <w:tc>
          <w:tcPr>
            <w:tcW w:type="dxa" w:w="3097"/>
          </w:tcPr>
          <w:p>
            <w:pPr>
              <w:spacing w:line="300" w:lineRule="auto" w:after="0"/>
            </w:pPr>
            <w:r/>
            <w:r>
              <w:rPr>
                <w:rFonts w:ascii="Calibri" w:hAnsi="Calibri" w:cs="Calibri" w:eastAsia="Microsoft YaHei"/>
                <w:b w:val="0"/>
                <w:sz w:val="18"/>
              </w:rPr>
              <w:t>Two sentences on a “free cash flow structure”</w:t>
            </w:r>
          </w:p>
        </w:tc>
        <w:tc>
          <w:tcPr>
            <w:tcW w:type="dxa" w:w="3097"/>
          </w:tcPr>
          <w:p>
            <w:pPr>
              <w:spacing w:line="300" w:lineRule="auto" w:after="0"/>
            </w:pPr>
            <w:r/>
            <w:r>
              <w:rPr>
                <w:rFonts w:ascii="Calibri" w:hAnsi="Calibri" w:cs="Calibri" w:eastAsia="Microsoft YaHei"/>
                <w:b w:val="0"/>
                <w:sz w:val="18"/>
              </w:rPr>
              <w:t>Replaced by the v0.25 money rules: make up losses, then fund 6 months of operations, then build reserves, with monthly publication</w:t>
            </w:r>
          </w:p>
        </w:tc>
        <w:tc>
          <w:tcPr>
            <w:tcW w:type="dxa" w:w="3097"/>
          </w:tcPr>
          <w:p>
            <w:pPr>
              <w:spacing w:line="300" w:lineRule="auto" w:after="0"/>
            </w:pPr>
            <w:r/>
            <w:r>
              <w:rPr>
                <w:rFonts w:ascii="Calibri" w:hAnsi="Calibri" w:cs="Calibri" w:eastAsia="Microsoft YaHei"/>
                <w:b w:val="0"/>
                <w:sz w:val="18"/>
              </w:rPr>
              <w:t>Can be checked</w:t>
            </w:r>
          </w:p>
        </w:tc>
      </w:tr>
      <w:tr>
        <w:tc>
          <w:tcPr>
            <w:tcW w:type="dxa" w:w="3097"/>
            <w:shd w:val="clear" w:color="auto" w:fill="F3EFF8"/>
          </w:tcPr>
          <w:p>
            <w:pPr>
              <w:spacing w:line="300" w:lineRule="auto" w:after="0"/>
            </w:pPr>
            <w:r/>
            <w:r>
              <w:rPr>
                <w:rFonts w:ascii="Calibri" w:hAnsi="Calibri" w:cs="Calibri" w:eastAsia="Microsoft YaHei"/>
                <w:b w:val="0"/>
                <w:sz w:val="18"/>
              </w:rPr>
              <w:t>No stages</w:t>
            </w:r>
          </w:p>
        </w:tc>
        <w:tc>
          <w:tcPr>
            <w:tcW w:type="dxa" w:w="3097"/>
            <w:shd w:val="clear" w:color="auto" w:fill="F3EFF8"/>
          </w:tcPr>
          <w:p>
            <w:pPr>
              <w:spacing w:line="300" w:lineRule="auto" w:after="0"/>
            </w:pPr>
            <w:r/>
            <w:r>
              <w:rPr>
                <w:rFonts w:ascii="Calibri" w:hAnsi="Calibri" w:cs="Calibri" w:eastAsia="Microsoft YaHei"/>
                <w:b w:val="0"/>
                <w:sz w:val="18"/>
              </w:rPr>
              <w:t>Added the three stages Lab → Guild → League with checkable milestones</w:t>
            </w:r>
          </w:p>
        </w:tc>
        <w:tc>
          <w:tcPr>
            <w:tcW w:type="dxa" w:w="3097"/>
            <w:shd w:val="clear" w:color="auto" w:fill="F3EFF8"/>
          </w:tcPr>
          <w:p>
            <w:pPr>
              <w:spacing w:line="300" w:lineRule="auto" w:after="0"/>
            </w:pPr>
            <w:r/>
            <w:r>
              <w:rPr>
                <w:rFonts w:ascii="Calibri" w:hAnsi="Calibri" w:cs="Calibri" w:eastAsia="Microsoft YaHei"/>
                <w:b w:val="0"/>
                <w:sz w:val="18"/>
              </w:rPr>
              <w:t>A new direction</w:t>
            </w:r>
          </w:p>
        </w:tc>
      </w:tr>
      <w:tr>
        <w:tc>
          <w:tcPr>
            <w:tcW w:type="dxa" w:w="3097"/>
          </w:tcPr>
          <w:p>
            <w:pPr>
              <w:spacing w:line="300" w:lineRule="auto" w:after="0"/>
            </w:pPr>
            <w:r/>
            <w:r>
              <w:rPr>
                <w:rFonts w:ascii="Calibri" w:hAnsi="Calibri" w:cs="Calibri" w:eastAsia="Microsoft YaHei"/>
                <w:b w:val="0"/>
                <w:sz w:val="18"/>
              </w:rPr>
              <w:t>No explanation of distribution</w:t>
            </w:r>
          </w:p>
        </w:tc>
        <w:tc>
          <w:tcPr>
            <w:tcW w:type="dxa" w:w="3097"/>
          </w:tcPr>
          <w:p>
            <w:pPr>
              <w:spacing w:line="300" w:lineRule="auto" w:after="0"/>
            </w:pPr>
            <w:r/>
            <w:r>
              <w:rPr>
                <w:rFonts w:ascii="Calibri" w:hAnsi="Calibri" w:cs="Calibri" w:eastAsia="Microsoft YaHei"/>
                <w:b w:val="0"/>
                <w:sz w:val="18"/>
              </w:rPr>
              <w:t>Added “rewriting distribution with crypto tools”: escrow settlement, Merkle lists, anti-splitting weights, a random monthly pool, multisig, monthly publication, with clear labels for what is live and what is only designed</w:t>
            </w:r>
          </w:p>
        </w:tc>
        <w:tc>
          <w:tcPr>
            <w:tcW w:type="dxa" w:w="3097"/>
          </w:tcPr>
          <w:p>
            <w:pPr>
              <w:spacing w:line="300" w:lineRule="auto" w:after="0"/>
            </w:pPr>
            <w:r/>
            <w:r>
              <w:rPr>
                <w:rFonts w:ascii="Calibri" w:hAnsi="Calibri" w:cs="Calibri" w:eastAsia="Microsoft YaHei"/>
                <w:b w:val="0"/>
                <w:sz w:val="18"/>
              </w:rPr>
              <w:t>Use crypto tools to make distribution transparent and efficient</w:t>
            </w:r>
          </w:p>
        </w:tc>
      </w:tr>
      <w:tr>
        <w:tc>
          <w:tcPr>
            <w:tcW w:type="dxa" w:w="3097"/>
            <w:shd w:val="clear" w:color="auto" w:fill="F3EFF8"/>
          </w:tcPr>
          <w:p>
            <w:pPr>
              <w:spacing w:line="300" w:lineRule="auto" w:after="0"/>
            </w:pPr>
            <w:r/>
            <w:r>
              <w:rPr>
                <w:rFonts w:ascii="Calibri" w:hAnsi="Calibri" w:cs="Calibri" w:eastAsia="Microsoft YaHei"/>
                <w:b w:val="0"/>
                <w:sz w:val="18"/>
              </w:rPr>
              <w:t>Only four vague risk statements</w:t>
            </w:r>
          </w:p>
        </w:tc>
        <w:tc>
          <w:tcPr>
            <w:tcW w:type="dxa" w:w="3097"/>
            <w:shd w:val="clear" w:color="auto" w:fill="F3EFF8"/>
          </w:tcPr>
          <w:p>
            <w:pPr>
              <w:spacing w:line="300" w:lineRule="auto" w:after="0"/>
            </w:pPr>
            <w:r/>
            <w:r>
              <w:rPr>
                <w:rFonts w:ascii="Calibri" w:hAnsi="Calibri" w:cs="Calibri" w:eastAsia="Microsoft YaHei"/>
                <w:b w:val="0"/>
                <w:sz w:val="18"/>
              </w:rPr>
              <w:t>Added full risks and disclaimers: not investment advice, the token may lose value, no promise of returns, the vision is not guaranteed, regulation, content is not medical advice</w:t>
            </w:r>
          </w:p>
        </w:tc>
        <w:tc>
          <w:tcPr>
            <w:tcW w:type="dxa" w:w="3097"/>
            <w:shd w:val="clear" w:color="auto" w:fill="F3EFF8"/>
          </w:tcPr>
          <w:p>
            <w:pPr>
              <w:spacing w:line="300" w:lineRule="auto" w:after="0"/>
            </w:pPr>
            <w:r/>
            <w:r>
              <w:rPr>
                <w:rFonts w:ascii="Calibri" w:hAnsi="Calibri" w:cs="Calibri" w:eastAsia="Microsoft YaHei"/>
                <w:b w:val="0"/>
                <w:sz w:val="18"/>
              </w:rPr>
              <w:t>To protect readers</w:t>
            </w:r>
          </w:p>
        </w:tc>
      </w:tr>
      <w:tr>
        <w:tc>
          <w:tcPr>
            <w:tcW w:type="dxa" w:w="3097"/>
          </w:tcPr>
          <w:p>
            <w:pPr>
              <w:spacing w:line="300" w:lineRule="auto" w:after="0"/>
            </w:pPr>
            <w:r/>
            <w:r>
              <w:rPr>
                <w:rFonts w:ascii="Calibri" w:hAnsi="Calibri" w:cs="Calibri" w:eastAsia="Microsoft YaHei"/>
                <w:b w:val="0"/>
                <w:sz w:val="18"/>
              </w:rPr>
              <w:t>No arrangement for rewarding contribution</w:t>
            </w:r>
          </w:p>
        </w:tc>
        <w:tc>
          <w:tcPr>
            <w:tcW w:type="dxa" w:w="3097"/>
          </w:tcPr>
          <w:p>
            <w:pPr>
              <w:spacing w:line="300" w:lineRule="auto" w:after="0"/>
            </w:pPr>
            <w:r/>
            <w:r>
              <w:rPr>
                <w:rFonts w:ascii="Calibri" w:hAnsi="Calibri" w:cs="Calibri" w:eastAsia="Microsoft YaHei"/>
                <w:b w:val="0"/>
                <w:sz w:val="18"/>
              </w:rPr>
              <w:t>Added a “contribution-reward budget”: kept in the operating account, capped each year at 10% of that year’s operating income, used to reward real contribution, with the yearly total published (called “surprise rewards” in Economic Model v0.25)</w:t>
            </w:r>
          </w:p>
        </w:tc>
        <w:tc>
          <w:tcPr>
            <w:tcW w:type="dxa" w:w="3097"/>
          </w:tcPr>
          <w:p>
            <w:pPr>
              <w:spacing w:line="300" w:lineRule="auto" w:after="0"/>
            </w:pPr>
            <w:r/>
            <w:r>
              <w:rPr>
                <w:rFonts w:ascii="Calibri" w:hAnsi="Calibri" w:cs="Calibri" w:eastAsia="Microsoft YaHei"/>
                <w:b w:val="0"/>
                <w:sz w:val="18"/>
              </w:rPr>
              <w:t>Rewards match real contribution; a plain name and an amount that can be checked</w:t>
            </w:r>
          </w:p>
        </w:tc>
      </w:tr>
      <w:tr>
        <w:tc>
          <w:tcPr>
            <w:tcW w:type="dxa" w:w="3097"/>
            <w:shd w:val="clear" w:color="auto" w:fill="F3EFF8"/>
          </w:tcPr>
          <w:p>
            <w:pPr>
              <w:spacing w:line="300" w:lineRule="auto" w:after="0"/>
            </w:pPr>
            <w:r/>
            <w:r>
              <w:rPr>
                <w:rFonts w:ascii="Calibri" w:hAnsi="Calibri" w:cs="Calibri" w:eastAsia="Microsoft YaHei"/>
                <w:b w:val="0"/>
                <w:sz w:val="18"/>
              </w:rPr>
              <w:t>ORDL’s role not explained</w:t>
            </w:r>
          </w:p>
        </w:tc>
        <w:tc>
          <w:tcPr>
            <w:tcW w:type="dxa" w:w="3097"/>
            <w:shd w:val="clear" w:color="auto" w:fill="F3EFF8"/>
          </w:tcPr>
          <w:p>
            <w:pPr>
              <w:spacing w:line="300" w:lineRule="auto" w:after="0"/>
            </w:pPr>
            <w:r/>
            <w:r>
              <w:rPr>
                <w:rFonts w:ascii="Calibri" w:hAnsi="Calibri" w:cs="Calibri" w:eastAsia="Microsoft YaHei"/>
                <w:b w:val="0"/>
                <w:sz w:val="18"/>
              </w:rPr>
              <w:t>Added the principle: we do not encourage anyone to buy ORDL; ORDL is only a community identity credential; long-term practitioners receive ORDL rewards (learning counts as practice; source, “long-term practice” standard, anti-abuse rules and amounts TBD; no new issuance)</w:t>
            </w:r>
          </w:p>
        </w:tc>
        <w:tc>
          <w:tcPr>
            <w:tcW w:type="dxa" w:w="3097"/>
            <w:shd w:val="clear" w:color="auto" w:fill="F3EFF8"/>
          </w:tcPr>
          <w:p>
            <w:pPr>
              <w:spacing w:line="300" w:lineRule="auto" w:after="0"/>
            </w:pPr>
            <w:r/>
            <w:r>
              <w:rPr>
                <w:rFonts w:ascii="Calibri" w:hAnsi="Calibri" w:cs="Calibri" w:eastAsia="Microsoft YaHei"/>
                <w:b w:val="0"/>
                <w:sz w:val="18"/>
              </w:rPr>
              <w:t>Bring ORDL back to being an identity credential, away from speculation</w:t>
            </w:r>
          </w:p>
        </w:tc>
      </w:tr>
      <w:tr>
        <w:tc>
          <w:tcPr>
            <w:tcW w:type="dxa" w:w="3097"/>
          </w:tcPr>
          <w:p>
            <w:pPr>
              <w:spacing w:line="300" w:lineRule="auto" w:after="0"/>
            </w:pPr>
            <w:r/>
            <w:r>
              <w:rPr>
                <w:rFonts w:ascii="Calibri" w:hAnsi="Calibri" w:cs="Calibri" w:eastAsia="Microsoft YaHei"/>
                <w:b w:val="0"/>
                <w:sz w:val="18"/>
              </w:rPr>
              <w:t>No open items</w:t>
            </w:r>
          </w:p>
        </w:tc>
        <w:tc>
          <w:tcPr>
            <w:tcW w:type="dxa" w:w="3097"/>
          </w:tcPr>
          <w:p>
            <w:pPr>
              <w:spacing w:line="300" w:lineRule="auto" w:after="0"/>
            </w:pPr>
            <w:r/>
            <w:r>
              <w:rPr>
                <w:rFonts w:ascii="Calibri" w:hAnsi="Calibri" w:cs="Calibri" w:eastAsia="Microsoft YaHei"/>
                <w:b w:val="0"/>
                <w:sz w:val="18"/>
              </w:rPr>
              <w:t>Added a list of open items: multisig signers, exchange addresses, issuance details (to be confirmed), legal opinions and more</w:t>
            </w:r>
          </w:p>
        </w:tc>
        <w:tc>
          <w:tcPr>
            <w:tcW w:type="dxa" w:w="3097"/>
          </w:tcPr>
          <w:p>
            <w:pPr>
              <w:spacing w:line="300" w:lineRule="auto" w:after="0"/>
            </w:pPr>
            <w:r/>
            <w:r>
              <w:rPr>
                <w:rFonts w:ascii="Calibri" w:hAnsi="Calibri" w:cs="Calibri" w:eastAsia="Microsoft YaHei"/>
                <w:b w:val="0"/>
                <w:sz w:val="18"/>
              </w:rPr>
              <w:t>No invented numbers</w:t>
            </w:r>
          </w:p>
        </w:tc>
      </w:tr>
      <w:tr>
        <w:tc>
          <w:tcPr>
            <w:tcW w:type="dxa" w:w="3097"/>
            <w:shd w:val="clear" w:color="auto" w:fill="F3EFF8"/>
          </w:tcPr>
          <w:p>
            <w:pPr>
              <w:spacing w:line="300" w:lineRule="auto" w:after="0"/>
            </w:pPr>
            <w:r/>
            <w:r>
              <w:rPr>
                <w:rFonts w:ascii="Calibri" w:hAnsi="Calibri" w:cs="Calibri" w:eastAsia="Microsoft YaHei"/>
                <w:b w:val="0"/>
                <w:sz w:val="18"/>
              </w:rPr>
              <w:t>Kept</w:t>
            </w:r>
          </w:p>
        </w:tc>
        <w:tc>
          <w:tcPr>
            <w:tcW w:type="dxa" w:w="3097"/>
            <w:shd w:val="clear" w:color="auto" w:fill="F3EFF8"/>
          </w:tcPr>
          <w:p>
            <w:pPr>
              <w:spacing w:line="300" w:lineRule="auto" w:after="0"/>
            </w:pPr>
            <w:r/>
            <w:r>
              <w:rPr>
                <w:rFonts w:ascii="Calibri" w:hAnsi="Calibri" w:cs="Calibri" w:eastAsia="Microsoft YaHei"/>
                <w:b w:val="0"/>
                <w:sz w:val="18"/>
              </w:rPr>
              <w:t>Reviving Chinese culture, the Eastern Renaissance, decoding the esoteric scientifically, the five arts, open / inclusive / diligent / good, we care we share, the DAO spirit, loose coupling that one person can maintain</w:t>
            </w:r>
          </w:p>
        </w:tc>
        <w:tc>
          <w:tcPr>
            <w:tcW w:type="dxa" w:w="3097"/>
            <w:shd w:val="clear" w:color="auto" w:fill="F3EFF8"/>
          </w:tcPr>
          <w:p>
            <w:pPr>
              <w:spacing w:line="300" w:lineRule="auto" w:after="0"/>
            </w:pPr>
            <w:r/>
            <w:r>
              <w:rPr>
                <w:rFonts w:ascii="Calibri" w:hAnsi="Calibri" w:cs="Calibri" w:eastAsia="Microsoft YaHei"/>
                <w:b w:val="0"/>
                <w:sz w:val="18"/>
              </w:rPr>
              <w:t>The original aspiration is unchanged</w:t>
            </w:r>
          </w:p>
        </w:tc>
      </w:tr>
    </w:tbl>
    <w:p/>
    <w:sectPr w:rsidR="00FC693F" w:rsidRPr="0006063C" w:rsidSect="00034616">
      <w:footerReference w:type="default" r:id="rId9"/>
      <w:headerReference w:type="default" r:id="rId10"/>
      <w:pgSz w:w="12240" w:h="15840"/>
      <w:pgMar w:top="1361" w:right="1474" w:bottom="1361" w:left="147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s="Calibri" w:eastAsia="Microsoft YaHei"/>
        <w:sz w:val="18"/>
      </w:rPr>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s="Calibri" w:eastAsia="Microsoft YaHei"/>
        <w:b w:val="0"/>
        <w:color w:val="555555"/>
        <w:sz w:val="17"/>
      </w:rPr>
      <w:t>Occult Realm Dao Lab · Whitepaper v2.0</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88" w:lineRule="auto" w:after="120"/>
    </w:pPr>
    <w:rPr>
      <w:rFonts w:ascii="Calibri" w:hAnsi="Calibri" w:cs="Calibri" w:eastAsia="Microsoft YaHe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20"/>
      <w:outlineLvl w:val="0"/>
    </w:pPr>
    <w:rPr>
      <w:rFonts w:asciiTheme="majorHAnsi" w:eastAsiaTheme="majorEastAsia" w:hAnsiTheme="majorHAnsi" w:cstheme="majorBidi" w:ascii="Calibri" w:hAnsi="Calibri" w:cs="Calibri" w:eastAsia="Microsoft YaHei"/>
      <w:b/>
      <w:bCs/>
      <w:color w:val="5B3A8C"/>
      <w:sz w:val="32"/>
      <w:szCs w:val="28"/>
    </w:rPr>
  </w:style>
  <w:style w:type="paragraph" w:styleId="Heading2">
    <w:name w:val="heading 2"/>
    <w:basedOn w:val="Normal"/>
    <w:next w:val="Normal"/>
    <w:link w:val="Heading2Char"/>
    <w:uiPriority w:val="9"/>
    <w:unhideWhenUsed/>
    <w:qFormat/>
    <w:rsid w:val="00FC693F"/>
    <w:pPr>
      <w:keepNext/>
      <w:keepLines/>
      <w:spacing w:before="320" w:after="120"/>
      <w:outlineLvl w:val="1"/>
    </w:pPr>
    <w:rPr>
      <w:rFonts w:asciiTheme="majorHAnsi" w:eastAsiaTheme="majorEastAsia" w:hAnsiTheme="majorHAnsi" w:cstheme="majorBidi" w:ascii="Calibri" w:hAnsi="Calibri" w:cs="Calibri" w:eastAsia="Microsoft YaHei"/>
      <w:b/>
      <w:bCs/>
      <w:color w:val="5B3A8C"/>
      <w:sz w:val="27"/>
      <w:szCs w:val="26"/>
    </w:rPr>
  </w:style>
  <w:style w:type="paragraph" w:styleId="Heading3">
    <w:name w:val="heading 3"/>
    <w:basedOn w:val="Normal"/>
    <w:next w:val="Normal"/>
    <w:link w:val="Heading3Char"/>
    <w:uiPriority w:val="9"/>
    <w:unhideWhenUsed/>
    <w:qFormat/>
    <w:rsid w:val="00FC693F"/>
    <w:pPr>
      <w:keepNext/>
      <w:keepLines/>
      <w:spacing w:before="200" w:after="120"/>
      <w:outlineLvl w:val="2"/>
    </w:pPr>
    <w:rPr>
      <w:rFonts w:asciiTheme="majorHAnsi" w:eastAsiaTheme="majorEastAsia" w:hAnsiTheme="majorHAnsi" w:cstheme="majorBidi" w:ascii="Calibri" w:hAnsi="Calibri" w:cs="Calibri" w:eastAsia="Microsoft YaHei"/>
      <w:b/>
      <w:bCs/>
      <w:color w:val="5B3A8C"/>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Calibri" w:hAnsi="Calibri" w:cs="Calibri" w:eastAsia="Microsoft YaHei"/>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rPr>
      <w:rFonts w:ascii="Calibri" w:hAnsi="Calibri" w:cs="Calibri" w:eastAsia="Microsoft YaHei"/>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